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3AD392DB" w:rsidR="00E66558" w:rsidRPr="004E3DE5" w:rsidRDefault="001C52FD" w:rsidP="006C4273">
      <w:pPr>
        <w:pStyle w:val="Heading1"/>
        <w:jc w:val="center"/>
        <w:rPr>
          <w:rFonts w:cs="Arial"/>
        </w:rPr>
      </w:pPr>
      <w:bookmarkStart w:id="0" w:name="_Toc400361362"/>
      <w:bookmarkStart w:id="1" w:name="_Toc443397153"/>
      <w:bookmarkStart w:id="2" w:name="_Toc357771638"/>
      <w:bookmarkStart w:id="3" w:name="_Toc346793416"/>
      <w:bookmarkStart w:id="4" w:name="_Toc328122777"/>
      <w:bookmarkStart w:id="5" w:name="_GoBack"/>
      <w:bookmarkEnd w:id="5"/>
      <w:r>
        <w:t>Surfleet</w:t>
      </w:r>
      <w:r w:rsidR="00FE0372" w:rsidRPr="004E3DE5">
        <w:rPr>
          <w:rFonts w:cs="Arial"/>
        </w:rPr>
        <w:t xml:space="preserve"> </w:t>
      </w:r>
      <w:r w:rsidR="003E2C1D">
        <w:rPr>
          <w:rFonts w:cs="Arial"/>
        </w:rPr>
        <w:t xml:space="preserve">Primary School </w:t>
      </w:r>
      <w:r w:rsidR="009D71E8" w:rsidRPr="004E3DE5">
        <w:rPr>
          <w:rFonts w:cs="Arial"/>
        </w:rP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3E2C1D">
        <w:rPr>
          <w:rFonts w:cs="Arial"/>
        </w:rPr>
        <w:t xml:space="preserve"> </w:t>
      </w:r>
      <w:r w:rsidR="00C52D46">
        <w:rPr>
          <w:rFonts w:cs="Arial"/>
        </w:rPr>
        <w:t>2021-2023</w:t>
      </w:r>
    </w:p>
    <w:p w14:paraId="2A7D54B4" w14:textId="77777777" w:rsidR="00E66558" w:rsidRPr="004E3DE5" w:rsidRDefault="009D71E8">
      <w:pPr>
        <w:pStyle w:val="Heading2"/>
        <w:rPr>
          <w:rFonts w:cs="Arial"/>
        </w:rPr>
      </w:pPr>
      <w:r w:rsidRPr="004E3DE5">
        <w:rPr>
          <w:rFonts w:cs="Arial"/>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RPr="004E3DE5"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4E3DE5" w:rsidRDefault="009D71E8">
            <w:pPr>
              <w:pStyle w:val="TableHeader"/>
              <w:jc w:val="left"/>
              <w:rPr>
                <w:rFonts w:cs="Arial"/>
              </w:rPr>
            </w:pPr>
            <w:r w:rsidRPr="004E3DE5">
              <w:rPr>
                <w:rFonts w:cs="Arial"/>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4E3DE5" w:rsidRDefault="009D71E8">
            <w:pPr>
              <w:pStyle w:val="TableHeader"/>
              <w:jc w:val="left"/>
              <w:rPr>
                <w:rFonts w:cs="Arial"/>
              </w:rPr>
            </w:pPr>
            <w:r w:rsidRPr="004E3DE5">
              <w:rPr>
                <w:rFonts w:cs="Arial"/>
              </w:rPr>
              <w:t>Data</w:t>
            </w:r>
          </w:p>
        </w:tc>
      </w:tr>
      <w:tr w:rsidR="00901C2B" w:rsidRPr="004E3DE5"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901C2B" w:rsidRPr="004E3DE5" w:rsidRDefault="00901C2B" w:rsidP="00901C2B">
            <w:pPr>
              <w:pStyle w:val="TableRow"/>
              <w:rPr>
                <w:rFonts w:cs="Arial"/>
              </w:rPr>
            </w:pPr>
            <w:r w:rsidRPr="004E3DE5">
              <w:rPr>
                <w:rFonts w:cs="Arial"/>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6C1545B" w:rsidR="00901C2B" w:rsidRPr="004E3DE5" w:rsidRDefault="00901C2B" w:rsidP="00901C2B">
            <w:pPr>
              <w:pStyle w:val="TableRow"/>
              <w:rPr>
                <w:rFonts w:cs="Arial"/>
              </w:rPr>
            </w:pPr>
            <w:r>
              <w:rPr>
                <w:b/>
                <w:color w:val="002060"/>
                <w:sz w:val="20"/>
                <w:szCs w:val="20"/>
              </w:rPr>
              <w:t>Surfleet Primary School</w:t>
            </w:r>
          </w:p>
        </w:tc>
      </w:tr>
      <w:tr w:rsidR="00901C2B" w:rsidRPr="004E3DE5"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901C2B" w:rsidRPr="004E3DE5" w:rsidRDefault="00901C2B" w:rsidP="00901C2B">
            <w:pPr>
              <w:pStyle w:val="TableRow"/>
              <w:rPr>
                <w:rFonts w:cs="Arial"/>
              </w:rPr>
            </w:pPr>
            <w:r w:rsidRPr="004E3DE5">
              <w:rPr>
                <w:rFonts w:cs="Arial"/>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75B8558" w:rsidR="00901C2B" w:rsidRPr="004E3DE5" w:rsidRDefault="00901C2B" w:rsidP="00901C2B">
            <w:pPr>
              <w:pStyle w:val="TableRow"/>
              <w:rPr>
                <w:rFonts w:cs="Arial"/>
              </w:rPr>
            </w:pPr>
            <w:r>
              <w:rPr>
                <w:b/>
                <w:color w:val="002060"/>
                <w:sz w:val="20"/>
                <w:szCs w:val="20"/>
              </w:rPr>
              <w:t>73</w:t>
            </w:r>
          </w:p>
        </w:tc>
      </w:tr>
      <w:tr w:rsidR="00901C2B" w:rsidRPr="004E3DE5"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901C2B" w:rsidRPr="004E3DE5" w:rsidRDefault="00901C2B" w:rsidP="00901C2B">
            <w:pPr>
              <w:pStyle w:val="TableRow"/>
              <w:rPr>
                <w:rFonts w:cs="Arial"/>
              </w:rPr>
            </w:pPr>
            <w:r w:rsidRPr="004E3DE5">
              <w:rPr>
                <w:rFonts w:cs="Arial"/>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D17782E" w:rsidR="00901C2B" w:rsidRPr="004E3DE5" w:rsidRDefault="00901C2B" w:rsidP="00901C2B">
            <w:pPr>
              <w:pStyle w:val="TableRow"/>
              <w:rPr>
                <w:rFonts w:cs="Arial"/>
              </w:rPr>
            </w:pPr>
            <w:r>
              <w:rPr>
                <w:b/>
                <w:color w:val="002060"/>
                <w:sz w:val="20"/>
                <w:szCs w:val="20"/>
              </w:rPr>
              <w:t>34</w:t>
            </w:r>
            <w:r w:rsidRPr="00C627E1">
              <w:rPr>
                <w:b/>
                <w:color w:val="002060"/>
                <w:sz w:val="20"/>
                <w:szCs w:val="20"/>
              </w:rPr>
              <w:t>.</w:t>
            </w:r>
            <w:r>
              <w:rPr>
                <w:b/>
                <w:color w:val="002060"/>
                <w:sz w:val="20"/>
                <w:szCs w:val="20"/>
              </w:rPr>
              <w:t>2</w:t>
            </w:r>
            <w:r w:rsidRPr="00C627E1">
              <w:rPr>
                <w:b/>
                <w:color w:val="002060"/>
                <w:sz w:val="20"/>
                <w:szCs w:val="20"/>
              </w:rPr>
              <w:t>% (</w:t>
            </w:r>
            <w:r>
              <w:rPr>
                <w:b/>
                <w:color w:val="002060"/>
                <w:sz w:val="20"/>
                <w:szCs w:val="20"/>
              </w:rPr>
              <w:t>25</w:t>
            </w:r>
            <w:r w:rsidRPr="00C627E1">
              <w:rPr>
                <w:b/>
                <w:color w:val="002060"/>
                <w:sz w:val="20"/>
                <w:szCs w:val="20"/>
              </w:rPr>
              <w:t xml:space="preserve"> children)</w:t>
            </w:r>
          </w:p>
        </w:tc>
      </w:tr>
      <w:tr w:rsidR="00901C2B" w:rsidRPr="004E3DE5"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1CF3B69" w:rsidR="00901C2B" w:rsidRPr="004E3DE5" w:rsidRDefault="00901C2B" w:rsidP="00901C2B">
            <w:pPr>
              <w:pStyle w:val="TableRow"/>
              <w:rPr>
                <w:rFonts w:cs="Arial"/>
              </w:rPr>
            </w:pPr>
            <w:r w:rsidRPr="004E3DE5">
              <w:rPr>
                <w:rFonts w:cs="Arial"/>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B362A40" w:rsidR="00901C2B" w:rsidRPr="004E3DE5" w:rsidRDefault="00901C2B" w:rsidP="00901C2B">
            <w:pPr>
              <w:pStyle w:val="TableRow"/>
              <w:rPr>
                <w:rFonts w:cs="Arial"/>
              </w:rPr>
            </w:pPr>
            <w:r w:rsidRPr="00C11594">
              <w:rPr>
                <w:b/>
                <w:color w:val="002060"/>
                <w:sz w:val="20"/>
                <w:szCs w:val="20"/>
              </w:rPr>
              <w:t>£36</w:t>
            </w:r>
            <w:r w:rsidR="005941DF">
              <w:rPr>
                <w:b/>
                <w:color w:val="002060"/>
                <w:sz w:val="20"/>
                <w:szCs w:val="20"/>
              </w:rPr>
              <w:t xml:space="preserve"> </w:t>
            </w:r>
            <w:r w:rsidRPr="00C11594">
              <w:rPr>
                <w:b/>
                <w:color w:val="002060"/>
                <w:sz w:val="20"/>
                <w:szCs w:val="20"/>
              </w:rPr>
              <w:t>315</w:t>
            </w:r>
          </w:p>
        </w:tc>
      </w:tr>
      <w:tr w:rsidR="00901C2B" w:rsidRPr="004E3DE5"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901C2B" w:rsidRPr="004E3DE5" w:rsidRDefault="00901C2B" w:rsidP="00901C2B">
            <w:pPr>
              <w:pStyle w:val="TableRow"/>
              <w:rPr>
                <w:rFonts w:cs="Arial"/>
              </w:rPr>
            </w:pPr>
            <w:r w:rsidRPr="004E3DE5">
              <w:rPr>
                <w:rFonts w:cs="Arial"/>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09EDB2D" w:rsidR="00901C2B" w:rsidRPr="004E3DE5" w:rsidRDefault="00901C2B" w:rsidP="00901C2B">
            <w:pPr>
              <w:pStyle w:val="TableRow"/>
              <w:rPr>
                <w:rFonts w:cs="Arial"/>
              </w:rPr>
            </w:pPr>
            <w:r w:rsidRPr="00C627E1">
              <w:rPr>
                <w:b/>
                <w:color w:val="002060"/>
                <w:sz w:val="20"/>
                <w:szCs w:val="20"/>
              </w:rPr>
              <w:t>1</w:t>
            </w:r>
            <w:r w:rsidR="0077045B">
              <w:rPr>
                <w:b/>
                <w:color w:val="002060"/>
                <w:sz w:val="20"/>
                <w:szCs w:val="20"/>
              </w:rPr>
              <w:t xml:space="preserve"> September</w:t>
            </w:r>
            <w:r w:rsidR="0077045B" w:rsidRPr="00C627E1">
              <w:rPr>
                <w:b/>
                <w:color w:val="002060"/>
                <w:sz w:val="20"/>
                <w:szCs w:val="20"/>
              </w:rPr>
              <w:t xml:space="preserve"> 202</w:t>
            </w:r>
            <w:r w:rsidR="0077045B">
              <w:rPr>
                <w:b/>
                <w:color w:val="002060"/>
                <w:sz w:val="20"/>
                <w:szCs w:val="20"/>
              </w:rPr>
              <w:t>1</w:t>
            </w:r>
          </w:p>
        </w:tc>
      </w:tr>
      <w:tr w:rsidR="00901C2B" w:rsidRPr="004E3DE5"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901C2B" w:rsidRPr="004E3DE5" w:rsidRDefault="00901C2B" w:rsidP="00901C2B">
            <w:pPr>
              <w:pStyle w:val="TableRow"/>
              <w:rPr>
                <w:rFonts w:cs="Arial"/>
              </w:rPr>
            </w:pPr>
            <w:r w:rsidRPr="004E3DE5">
              <w:rPr>
                <w:rFonts w:cs="Arial"/>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7A84AD8" w:rsidR="00901C2B" w:rsidRPr="004E3DE5" w:rsidRDefault="0077045B" w:rsidP="00901C2B">
            <w:pPr>
              <w:pStyle w:val="TableRow"/>
              <w:rPr>
                <w:rFonts w:cs="Arial"/>
              </w:rPr>
            </w:pPr>
            <w:r w:rsidRPr="00C627E1">
              <w:rPr>
                <w:b/>
                <w:color w:val="002060"/>
                <w:sz w:val="20"/>
                <w:szCs w:val="20"/>
              </w:rPr>
              <w:t>June 202</w:t>
            </w:r>
            <w:r>
              <w:rPr>
                <w:b/>
                <w:color w:val="002060"/>
                <w:sz w:val="20"/>
                <w:szCs w:val="20"/>
              </w:rPr>
              <w:t>2</w:t>
            </w:r>
          </w:p>
        </w:tc>
      </w:tr>
      <w:tr w:rsidR="00901C2B" w:rsidRPr="004E3DE5"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901C2B" w:rsidRPr="004E3DE5" w:rsidRDefault="00901C2B" w:rsidP="00901C2B">
            <w:pPr>
              <w:pStyle w:val="TableRow"/>
              <w:rPr>
                <w:rFonts w:cs="Arial"/>
              </w:rPr>
            </w:pPr>
            <w:r w:rsidRPr="004E3DE5">
              <w:rPr>
                <w:rFonts w:cs="Arial"/>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275AD1C" w:rsidR="00901C2B" w:rsidRPr="004E3DE5" w:rsidRDefault="0077045B" w:rsidP="00901C2B">
            <w:pPr>
              <w:pStyle w:val="TableRow"/>
              <w:rPr>
                <w:rFonts w:cs="Arial"/>
              </w:rPr>
            </w:pPr>
            <w:r w:rsidRPr="00C627E1">
              <w:rPr>
                <w:b/>
                <w:color w:val="002060"/>
                <w:sz w:val="20"/>
                <w:szCs w:val="20"/>
              </w:rPr>
              <w:t>Elaine Radley (CEO)</w:t>
            </w:r>
          </w:p>
        </w:tc>
      </w:tr>
      <w:tr w:rsidR="00901C2B" w:rsidRPr="004E3DE5"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901C2B" w:rsidRPr="004E3DE5" w:rsidRDefault="00901C2B" w:rsidP="00901C2B">
            <w:pPr>
              <w:pStyle w:val="TableRow"/>
              <w:rPr>
                <w:rFonts w:cs="Arial"/>
              </w:rPr>
            </w:pPr>
            <w:r w:rsidRPr="004E3DE5">
              <w:rPr>
                <w:rFonts w:cs="Arial"/>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D2C4921" w:rsidR="00901C2B" w:rsidRPr="004E3DE5" w:rsidRDefault="0077045B" w:rsidP="00901C2B">
            <w:pPr>
              <w:pStyle w:val="TableRow"/>
              <w:rPr>
                <w:rFonts w:cs="Arial"/>
              </w:rPr>
            </w:pPr>
            <w:r>
              <w:rPr>
                <w:b/>
                <w:color w:val="002060"/>
                <w:sz w:val="20"/>
                <w:szCs w:val="20"/>
              </w:rPr>
              <w:t>Rick Chipperfield</w:t>
            </w:r>
          </w:p>
        </w:tc>
      </w:tr>
      <w:tr w:rsidR="00901C2B" w:rsidRPr="004E3DE5"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901C2B" w:rsidRPr="004E3DE5" w:rsidRDefault="00901C2B" w:rsidP="00901C2B">
            <w:pPr>
              <w:pStyle w:val="TableRow"/>
              <w:rPr>
                <w:rFonts w:cs="Arial"/>
              </w:rPr>
            </w:pPr>
            <w:r w:rsidRPr="004E3DE5">
              <w:rPr>
                <w:rFonts w:cs="Arial"/>
              </w:rPr>
              <w:t xml:space="preserve">Governor </w:t>
            </w:r>
            <w:r w:rsidRPr="004E3DE5">
              <w:rPr>
                <w:rFonts w:cs="Arial"/>
                <w:szCs w:val="22"/>
              </w:rPr>
              <w:t xml:space="preserve">/ Trustee </w:t>
            </w:r>
            <w:r w:rsidRPr="004E3DE5">
              <w:rPr>
                <w:rFonts w:cs="Arial"/>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16C9211" w:rsidR="00901C2B" w:rsidRPr="004E3DE5" w:rsidRDefault="00901C2B" w:rsidP="00901C2B">
            <w:pPr>
              <w:pStyle w:val="TableRow"/>
              <w:rPr>
                <w:rFonts w:cs="Arial"/>
              </w:rPr>
            </w:pPr>
          </w:p>
        </w:tc>
      </w:tr>
    </w:tbl>
    <w:bookmarkEnd w:id="2"/>
    <w:bookmarkEnd w:id="3"/>
    <w:bookmarkEnd w:id="4"/>
    <w:p w14:paraId="2A7D54D3" w14:textId="77777777" w:rsidR="00E66558" w:rsidRPr="004E3DE5" w:rsidRDefault="009D71E8">
      <w:pPr>
        <w:spacing w:before="480" w:line="240" w:lineRule="auto"/>
        <w:rPr>
          <w:rFonts w:cs="Arial"/>
          <w:b/>
          <w:color w:val="104F75"/>
          <w:sz w:val="32"/>
          <w:szCs w:val="32"/>
        </w:rPr>
      </w:pPr>
      <w:r w:rsidRPr="004E3DE5">
        <w:rPr>
          <w:rFonts w:cs="Arial"/>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4E3DE5"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4E3DE5" w:rsidRDefault="009D71E8">
            <w:pPr>
              <w:pStyle w:val="TableRow"/>
              <w:rPr>
                <w:rFonts w:cs="Arial"/>
              </w:rPr>
            </w:pPr>
            <w:r w:rsidRPr="004E3DE5">
              <w:rPr>
                <w:rFonts w:cs="Arial"/>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4E3DE5" w:rsidRDefault="009D71E8">
            <w:pPr>
              <w:pStyle w:val="TableRow"/>
              <w:rPr>
                <w:rFonts w:cs="Arial"/>
              </w:rPr>
            </w:pPr>
            <w:r w:rsidRPr="004E3DE5">
              <w:rPr>
                <w:rFonts w:cs="Arial"/>
                <w:b/>
              </w:rPr>
              <w:t>Amount</w:t>
            </w:r>
          </w:p>
        </w:tc>
      </w:tr>
      <w:tr w:rsidR="00E66558" w:rsidRPr="004E3DE5"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4E3DE5" w:rsidRDefault="009D71E8">
            <w:pPr>
              <w:pStyle w:val="TableRow"/>
              <w:rPr>
                <w:rFonts w:cs="Arial"/>
              </w:rPr>
            </w:pPr>
            <w:r w:rsidRPr="004E3DE5">
              <w:rPr>
                <w:rFonts w:cs="Arial"/>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44B61CF" w:rsidR="00E66558" w:rsidRPr="004E3DE5" w:rsidRDefault="009D71E8">
            <w:pPr>
              <w:pStyle w:val="TableRow"/>
              <w:rPr>
                <w:rFonts w:cs="Arial"/>
              </w:rPr>
            </w:pPr>
            <w:r w:rsidRPr="004E3DE5">
              <w:rPr>
                <w:rFonts w:cs="Arial"/>
              </w:rPr>
              <w:t>£</w:t>
            </w:r>
            <w:r w:rsidR="005941DF">
              <w:rPr>
                <w:rFonts w:cs="Arial"/>
              </w:rPr>
              <w:t>36 315</w:t>
            </w:r>
          </w:p>
        </w:tc>
      </w:tr>
      <w:tr w:rsidR="00E66558" w:rsidRPr="004E3DE5"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4E3DE5" w:rsidRDefault="009D71E8">
            <w:pPr>
              <w:pStyle w:val="TableRow"/>
              <w:rPr>
                <w:rFonts w:cs="Arial"/>
              </w:rPr>
            </w:pPr>
            <w:r w:rsidRPr="004E3DE5">
              <w:rPr>
                <w:rFonts w:cs="Arial"/>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59C94B7" w:rsidR="00E66558" w:rsidRPr="004E3DE5" w:rsidRDefault="009D71E8">
            <w:pPr>
              <w:pStyle w:val="TableRow"/>
              <w:rPr>
                <w:rFonts w:cs="Arial"/>
              </w:rPr>
            </w:pPr>
            <w:r w:rsidRPr="004E3DE5">
              <w:rPr>
                <w:rFonts w:cs="Arial"/>
              </w:rPr>
              <w:t>£</w:t>
            </w:r>
            <w:r w:rsidR="005941DF">
              <w:rPr>
                <w:rFonts w:cs="Arial"/>
              </w:rPr>
              <w:t>4000</w:t>
            </w:r>
          </w:p>
        </w:tc>
      </w:tr>
      <w:tr w:rsidR="00E66558" w:rsidRPr="004E3DE5"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4E3DE5" w:rsidRDefault="009D71E8">
            <w:pPr>
              <w:pStyle w:val="TableRow"/>
              <w:rPr>
                <w:rFonts w:cs="Arial"/>
              </w:rPr>
            </w:pPr>
            <w:r w:rsidRPr="004E3DE5">
              <w:rPr>
                <w:rFonts w:cs="Arial"/>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558AD6C" w:rsidR="00E66558" w:rsidRPr="004E3DE5" w:rsidRDefault="009D71E8">
            <w:pPr>
              <w:pStyle w:val="TableRow"/>
              <w:rPr>
                <w:rFonts w:cs="Arial"/>
              </w:rPr>
            </w:pPr>
            <w:r w:rsidRPr="004E3DE5">
              <w:rPr>
                <w:rFonts w:cs="Arial"/>
              </w:rPr>
              <w:t>£</w:t>
            </w:r>
            <w:r w:rsidR="00197AD2" w:rsidRPr="004E3DE5">
              <w:rPr>
                <w:rFonts w:cs="Arial"/>
              </w:rPr>
              <w:t>0</w:t>
            </w:r>
          </w:p>
        </w:tc>
      </w:tr>
      <w:tr w:rsidR="00E66558" w:rsidRPr="004E3DE5"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469E4BD0" w:rsidR="00E66558" w:rsidRPr="004E3DE5" w:rsidRDefault="009D71E8" w:rsidP="00D839D5">
            <w:pPr>
              <w:pStyle w:val="TableRow"/>
              <w:rPr>
                <w:rFonts w:cs="Arial"/>
              </w:rPr>
            </w:pPr>
            <w:r w:rsidRPr="004E3DE5">
              <w:rPr>
                <w:rFonts w:cs="Arial"/>
                <w:b/>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C78B76B" w:rsidR="00E66558" w:rsidRPr="004E3DE5" w:rsidRDefault="009D71E8">
            <w:pPr>
              <w:pStyle w:val="TableRow"/>
              <w:rPr>
                <w:rFonts w:cs="Arial"/>
              </w:rPr>
            </w:pPr>
            <w:r w:rsidRPr="004E3DE5">
              <w:rPr>
                <w:rFonts w:cs="Arial"/>
              </w:rPr>
              <w:t>£</w:t>
            </w:r>
            <w:r w:rsidR="00D839D5" w:rsidRPr="004E3DE5">
              <w:rPr>
                <w:rFonts w:cs="Arial"/>
              </w:rPr>
              <w:t xml:space="preserve"> </w:t>
            </w:r>
            <w:r w:rsidR="005941DF">
              <w:rPr>
                <w:rFonts w:cs="Arial"/>
              </w:rPr>
              <w:t>40 315</w:t>
            </w:r>
          </w:p>
        </w:tc>
      </w:tr>
    </w:tbl>
    <w:p w14:paraId="2A7D54E4" w14:textId="77777777" w:rsidR="00E66558" w:rsidRPr="004E3DE5" w:rsidRDefault="009D71E8">
      <w:pPr>
        <w:pStyle w:val="Heading1"/>
        <w:rPr>
          <w:rFonts w:cs="Arial"/>
        </w:rPr>
      </w:pPr>
      <w:r w:rsidRPr="004E3DE5">
        <w:rPr>
          <w:rFonts w:cs="Arial"/>
        </w:rPr>
        <w:lastRenderedPageBreak/>
        <w:t>Part A: Pupil premium strategy plan</w:t>
      </w:r>
    </w:p>
    <w:p w14:paraId="2A7D54E5" w14:textId="77777777" w:rsidR="00E66558" w:rsidRPr="004E3DE5" w:rsidRDefault="009D71E8">
      <w:pPr>
        <w:pStyle w:val="Heading2"/>
        <w:rPr>
          <w:rFonts w:cs="Arial"/>
        </w:rPr>
      </w:pPr>
      <w:bookmarkStart w:id="15" w:name="_Toc357771640"/>
      <w:bookmarkStart w:id="16" w:name="_Toc346793418"/>
      <w:r w:rsidRPr="004E3DE5">
        <w:rPr>
          <w:rFonts w:cs="Arial"/>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4E3DE5"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76E06" w14:textId="77777777" w:rsidR="00785B10" w:rsidRDefault="00785B10" w:rsidP="00785B10">
            <w:pPr>
              <w:pStyle w:val="Default"/>
              <w:rPr>
                <w:sz w:val="23"/>
                <w:szCs w:val="23"/>
              </w:rPr>
            </w:pPr>
          </w:p>
          <w:p w14:paraId="56B7807C" w14:textId="6FC5798D" w:rsidR="00785B10" w:rsidRPr="00785B10" w:rsidRDefault="00E3587F" w:rsidP="00785B10">
            <w:r>
              <w:t>Surfleet Primary School</w:t>
            </w:r>
            <w:r w:rsidR="00CC4BBA" w:rsidRPr="00785B10">
              <w:t xml:space="preserve"> aims to provide the very best education for all </w:t>
            </w:r>
            <w:r w:rsidR="00FC78C4">
              <w:t>pupils</w:t>
            </w:r>
            <w:r w:rsidR="00CC4BBA" w:rsidRPr="00785B10">
              <w:t xml:space="preserve"> where every</w:t>
            </w:r>
            <w:r w:rsidR="00376D03" w:rsidRPr="00785B10">
              <w:t xml:space="preserve"> child </w:t>
            </w:r>
            <w:r w:rsidR="004A7A63">
              <w:t>thrives</w:t>
            </w:r>
            <w:r w:rsidR="00CC4BBA" w:rsidRPr="00785B10">
              <w:t xml:space="preserve">.  As a whole school approach, we work together to ensure barriers are overcome and all </w:t>
            </w:r>
            <w:r w:rsidR="00FC78C4">
              <w:t>pupils</w:t>
            </w:r>
            <w:r w:rsidR="00CC4BBA" w:rsidRPr="00785B10">
              <w:t xml:space="preserve"> have the opportunit</w:t>
            </w:r>
            <w:r w:rsidR="00F22787" w:rsidRPr="00785B10">
              <w:t>y</w:t>
            </w:r>
            <w:r w:rsidR="00CC4BBA" w:rsidRPr="00785B10">
              <w:t xml:space="preserve"> to achieve success with challenge at the appropriate level.</w:t>
            </w:r>
            <w:r w:rsidR="00376D03" w:rsidRPr="00785B10">
              <w:t xml:space="preserve"> </w:t>
            </w:r>
            <w:r w:rsidR="00785B10" w:rsidRPr="00785B10">
              <w:t xml:space="preserve">Our aim is to ensure that our pupils are not disadvantaged as a result of their socio-economic context. We believe that with the correct support, all pupils can achieve their full potential, as long as the provision meets their needs. </w:t>
            </w:r>
          </w:p>
          <w:p w14:paraId="3E79E48C" w14:textId="7345C023" w:rsidR="00C01647" w:rsidRPr="00C01647" w:rsidRDefault="00CC4BBA" w:rsidP="00C01647">
            <w:pPr>
              <w:spacing w:before="120"/>
              <w:rPr>
                <w:rFonts w:cs="Arial"/>
                <w:iCs/>
              </w:rPr>
            </w:pPr>
            <w:r w:rsidRPr="00C01647">
              <w:rPr>
                <w:rFonts w:cs="Arial"/>
                <w:iCs/>
              </w:rPr>
              <w:t xml:space="preserve">Every child </w:t>
            </w:r>
            <w:r w:rsidR="00C01647" w:rsidRPr="00C01647">
              <w:rPr>
                <w:rFonts w:cs="Arial"/>
                <w:iCs/>
              </w:rPr>
              <w:t xml:space="preserve">is entitled to </w:t>
            </w:r>
            <w:r w:rsidRPr="00C01647">
              <w:rPr>
                <w:rFonts w:cs="Arial"/>
                <w:iCs/>
              </w:rPr>
              <w:t>quality first teaching of a high standard</w:t>
            </w:r>
            <w:r w:rsidR="00376D03" w:rsidRPr="00C01647">
              <w:rPr>
                <w:rFonts w:cs="Arial"/>
                <w:iCs/>
              </w:rPr>
              <w:t>,</w:t>
            </w:r>
            <w:r w:rsidRPr="00C01647">
              <w:rPr>
                <w:rFonts w:cs="Arial"/>
                <w:iCs/>
              </w:rPr>
              <w:t xml:space="preserve"> </w:t>
            </w:r>
            <w:r w:rsidR="00C01647" w:rsidRPr="00C01647">
              <w:rPr>
                <w:rFonts w:cs="Arial"/>
                <w:iCs/>
              </w:rPr>
              <w:t xml:space="preserve">with </w:t>
            </w:r>
            <w:r w:rsidR="00376D03" w:rsidRPr="00C01647">
              <w:rPr>
                <w:rFonts w:cs="Arial"/>
                <w:iCs/>
              </w:rPr>
              <w:t xml:space="preserve">staff </w:t>
            </w:r>
            <w:r w:rsidR="00AA3329" w:rsidRPr="00C01647">
              <w:rPr>
                <w:rFonts w:cs="Arial"/>
                <w:iCs/>
              </w:rPr>
              <w:t>access</w:t>
            </w:r>
            <w:r w:rsidR="00C01647" w:rsidRPr="00C01647">
              <w:rPr>
                <w:rFonts w:cs="Arial"/>
                <w:iCs/>
              </w:rPr>
              <w:t xml:space="preserve">ing </w:t>
            </w:r>
            <w:r w:rsidRPr="00C01647">
              <w:rPr>
                <w:rFonts w:cs="Arial"/>
                <w:iCs/>
              </w:rPr>
              <w:t>professional development through effective training</w:t>
            </w:r>
            <w:r w:rsidR="00C01647" w:rsidRPr="00C01647">
              <w:rPr>
                <w:rFonts w:cs="Arial"/>
                <w:iCs/>
              </w:rPr>
              <w:t xml:space="preserve"> to ensure that we meet needs. </w:t>
            </w:r>
            <w:r w:rsidRPr="00C01647">
              <w:rPr>
                <w:rFonts w:cs="Arial"/>
                <w:iCs/>
              </w:rPr>
              <w:t xml:space="preserve">  Where areas have been identified for a child requiring further support, interventions across the school are streamlined to those which have been proven </w:t>
            </w:r>
            <w:r w:rsidR="00F22787" w:rsidRPr="00C01647">
              <w:rPr>
                <w:rFonts w:cs="Arial"/>
                <w:iCs/>
              </w:rPr>
              <w:t xml:space="preserve">to </w:t>
            </w:r>
            <w:r w:rsidRPr="00C01647">
              <w:rPr>
                <w:rFonts w:cs="Arial"/>
                <w:iCs/>
              </w:rPr>
              <w:t>have the most impact</w:t>
            </w:r>
            <w:r w:rsidR="00AA3329" w:rsidRPr="00C01647">
              <w:rPr>
                <w:rFonts w:cs="Arial"/>
                <w:iCs/>
              </w:rPr>
              <w:t xml:space="preserve">, though the main aim is to keep up not catch </w:t>
            </w:r>
            <w:r w:rsidR="006F3FEF" w:rsidRPr="00C01647">
              <w:rPr>
                <w:rFonts w:cs="Arial"/>
                <w:iCs/>
              </w:rPr>
              <w:t>up</w:t>
            </w:r>
            <w:r w:rsidRPr="00C01647">
              <w:rPr>
                <w:rFonts w:cs="Arial"/>
                <w:iCs/>
              </w:rPr>
              <w:t>.</w:t>
            </w:r>
            <w:r w:rsidR="00376D03" w:rsidRPr="00C01647">
              <w:rPr>
                <w:rFonts w:cs="Arial"/>
                <w:iCs/>
              </w:rPr>
              <w:t xml:space="preserve"> </w:t>
            </w:r>
            <w:r w:rsidRPr="00C01647">
              <w:rPr>
                <w:rFonts w:cs="Arial"/>
                <w:iCs/>
              </w:rPr>
              <w:t xml:space="preserve"> We aim to achieve this for all </w:t>
            </w:r>
            <w:r w:rsidR="00FC78C4">
              <w:rPr>
                <w:rFonts w:cs="Arial"/>
                <w:iCs/>
              </w:rPr>
              <w:t>pupils</w:t>
            </w:r>
            <w:r w:rsidRPr="00C01647">
              <w:rPr>
                <w:rFonts w:cs="Arial"/>
                <w:iCs/>
              </w:rPr>
              <w:t xml:space="preserve"> from when they enter in Reception to when they leave </w:t>
            </w:r>
            <w:r w:rsidR="00376D03" w:rsidRPr="00C01647">
              <w:rPr>
                <w:rFonts w:cs="Arial"/>
                <w:iCs/>
              </w:rPr>
              <w:t>our school</w:t>
            </w:r>
            <w:r w:rsidR="00C01647" w:rsidRPr="00C01647">
              <w:rPr>
                <w:rFonts w:cs="Arial"/>
                <w:iCs/>
              </w:rPr>
              <w:t xml:space="preserve">, </w:t>
            </w:r>
            <w:r w:rsidR="00C01647" w:rsidRPr="00C01647">
              <w:rPr>
                <w:rFonts w:cs="Arial"/>
              </w:rPr>
              <w:t xml:space="preserve">narrowing the attainment gaps between disadvantaged pupils and their non-disadvantaged </w:t>
            </w:r>
            <w:r w:rsidR="00FC78C4">
              <w:rPr>
                <w:rFonts w:cs="Arial"/>
              </w:rPr>
              <w:t>peers</w:t>
            </w:r>
            <w:r w:rsidR="00C01647" w:rsidRPr="00C01647">
              <w:rPr>
                <w:rFonts w:cs="Arial"/>
              </w:rPr>
              <w:t xml:space="preserve"> both within school and nationally.</w:t>
            </w:r>
          </w:p>
          <w:p w14:paraId="5B47E75B" w14:textId="77777777" w:rsidR="00C01647" w:rsidRDefault="00376D03" w:rsidP="001D0C0A">
            <w:pPr>
              <w:spacing w:before="120"/>
              <w:rPr>
                <w:rFonts w:cs="Arial"/>
                <w:iCs/>
              </w:rPr>
            </w:pPr>
            <w:r w:rsidRPr="004E3DE5">
              <w:rPr>
                <w:rFonts w:cs="Arial"/>
                <w:iCs/>
              </w:rPr>
              <w:t>Our goal is</w:t>
            </w:r>
            <w:r w:rsidR="00CC4BBA" w:rsidRPr="004E3DE5">
              <w:rPr>
                <w:rFonts w:cs="Arial"/>
                <w:iCs/>
              </w:rPr>
              <w:t xml:space="preserve"> for every child to</w:t>
            </w:r>
            <w:r w:rsidR="00C01647">
              <w:rPr>
                <w:rFonts w:cs="Arial"/>
                <w:iCs/>
              </w:rPr>
              <w:t>:</w:t>
            </w:r>
          </w:p>
          <w:p w14:paraId="75968D32" w14:textId="21EA3941" w:rsidR="00E66558" w:rsidRDefault="00CC4BBA" w:rsidP="00C01647">
            <w:pPr>
              <w:pStyle w:val="ListParagraph"/>
              <w:numPr>
                <w:ilvl w:val="0"/>
                <w:numId w:val="28"/>
              </w:numPr>
              <w:spacing w:before="120"/>
              <w:rPr>
                <w:rFonts w:cs="Arial"/>
                <w:iCs/>
              </w:rPr>
            </w:pPr>
            <w:r w:rsidRPr="00C01647">
              <w:rPr>
                <w:rFonts w:cs="Arial"/>
                <w:iCs/>
              </w:rPr>
              <w:t>leave as lifelong learners where they are confident, resilient to challenge and prepared with</w:t>
            </w:r>
            <w:r w:rsidR="00376D03" w:rsidRPr="00C01647">
              <w:rPr>
                <w:rFonts w:cs="Arial"/>
                <w:iCs/>
              </w:rPr>
              <w:t xml:space="preserve"> the</w:t>
            </w:r>
            <w:r w:rsidRPr="00C01647">
              <w:rPr>
                <w:rFonts w:cs="Arial"/>
                <w:iCs/>
              </w:rPr>
              <w:t xml:space="preserve"> life skills to equip them on the next part of their journey</w:t>
            </w:r>
          </w:p>
          <w:p w14:paraId="5D4EF720" w14:textId="77777777" w:rsidR="00C01647" w:rsidRPr="00C01647" w:rsidRDefault="00C01647" w:rsidP="00C01647">
            <w:pPr>
              <w:pStyle w:val="ListParagraph"/>
              <w:numPr>
                <w:ilvl w:val="0"/>
                <w:numId w:val="28"/>
              </w:numPr>
              <w:rPr>
                <w:rFonts w:cs="Arial"/>
              </w:rPr>
            </w:pPr>
            <w:r>
              <w:rPr>
                <w:rFonts w:cs="Arial"/>
              </w:rPr>
              <w:t xml:space="preserve">have </w:t>
            </w:r>
            <w:r w:rsidRPr="00C01647">
              <w:rPr>
                <w:rFonts w:cs="Arial"/>
              </w:rPr>
              <w:t xml:space="preserve">confidence in their ability to communicate effectively in a wide range of contexts </w:t>
            </w:r>
          </w:p>
          <w:p w14:paraId="26E4F60A" w14:textId="26B9094A" w:rsidR="00C01647" w:rsidRPr="00C01647" w:rsidRDefault="00C01647" w:rsidP="00C01647">
            <w:pPr>
              <w:pStyle w:val="ListParagraph"/>
              <w:numPr>
                <w:ilvl w:val="0"/>
                <w:numId w:val="28"/>
              </w:numPr>
              <w:rPr>
                <w:rFonts w:cs="Arial"/>
              </w:rPr>
            </w:pPr>
            <w:r>
              <w:rPr>
                <w:rFonts w:cs="Arial"/>
              </w:rPr>
              <w:t xml:space="preserve">have </w:t>
            </w:r>
            <w:r w:rsidRPr="00C01647">
              <w:rPr>
                <w:rFonts w:cs="Arial"/>
              </w:rPr>
              <w:t xml:space="preserve">barriers to learning created by poverty, family circumstance and background </w:t>
            </w:r>
            <w:r>
              <w:rPr>
                <w:rFonts w:cs="Arial"/>
              </w:rPr>
              <w:t>removed</w:t>
            </w:r>
          </w:p>
          <w:p w14:paraId="28934C52" w14:textId="469F6584" w:rsidR="00C01647" w:rsidRPr="00C01647" w:rsidRDefault="00C01647" w:rsidP="00C01647">
            <w:pPr>
              <w:pStyle w:val="ListParagraph"/>
              <w:numPr>
                <w:ilvl w:val="0"/>
                <w:numId w:val="28"/>
              </w:numPr>
              <w:rPr>
                <w:rFonts w:cs="Arial"/>
              </w:rPr>
            </w:pPr>
            <w:r>
              <w:rPr>
                <w:rFonts w:cs="Arial"/>
              </w:rPr>
              <w:t xml:space="preserve">be able to </w:t>
            </w:r>
            <w:r w:rsidRPr="00C01647">
              <w:rPr>
                <w:rFonts w:cs="Arial"/>
              </w:rPr>
              <w:t xml:space="preserve">read fluently and with good understanding to enable them to access the breadth of the curriculum </w:t>
            </w:r>
          </w:p>
          <w:p w14:paraId="057E942F" w14:textId="77777777" w:rsidR="00C01647" w:rsidRDefault="00C01647" w:rsidP="00C01647">
            <w:pPr>
              <w:pStyle w:val="ListParagraph"/>
              <w:numPr>
                <w:ilvl w:val="0"/>
                <w:numId w:val="28"/>
              </w:numPr>
              <w:rPr>
                <w:rFonts w:cs="Arial"/>
              </w:rPr>
            </w:pPr>
            <w:r>
              <w:rPr>
                <w:rFonts w:cs="Arial"/>
              </w:rPr>
              <w:t>a</w:t>
            </w:r>
            <w:r w:rsidRPr="00C01647">
              <w:rPr>
                <w:rFonts w:cs="Arial"/>
              </w:rPr>
              <w:t xml:space="preserve">ccess a wide range of opportunities to develop their knowledge and understanding of the world </w:t>
            </w:r>
          </w:p>
          <w:p w14:paraId="58267333" w14:textId="77777777" w:rsidR="00C01647" w:rsidRPr="00C01647" w:rsidRDefault="00C01647" w:rsidP="00C01647">
            <w:pPr>
              <w:rPr>
                <w:rFonts w:cs="Arial"/>
              </w:rPr>
            </w:pPr>
            <w:r w:rsidRPr="00C01647">
              <w:rPr>
                <w:rFonts w:cs="Arial"/>
              </w:rPr>
              <w:t xml:space="preserve">In order to achieve our objectives and overcome identified barriers to learning we will: </w:t>
            </w:r>
          </w:p>
          <w:p w14:paraId="561E4870" w14:textId="6406CEF7" w:rsidR="00C01647" w:rsidRPr="00C01647" w:rsidRDefault="00C01647" w:rsidP="00C01647">
            <w:pPr>
              <w:pStyle w:val="ListParagraph"/>
              <w:numPr>
                <w:ilvl w:val="0"/>
                <w:numId w:val="28"/>
              </w:numPr>
              <w:rPr>
                <w:rFonts w:cs="Arial"/>
              </w:rPr>
            </w:pPr>
            <w:r w:rsidRPr="00C01647">
              <w:rPr>
                <w:rFonts w:cs="Arial"/>
              </w:rPr>
              <w:t xml:space="preserve">Provide all teachers with high quality CPD to ensure that pupils access effective quality first teaching </w:t>
            </w:r>
          </w:p>
          <w:p w14:paraId="4871ADBB" w14:textId="77777777" w:rsidR="00C01647" w:rsidRDefault="00C01647" w:rsidP="00C01647">
            <w:pPr>
              <w:pStyle w:val="ListParagraph"/>
              <w:numPr>
                <w:ilvl w:val="0"/>
                <w:numId w:val="28"/>
              </w:numPr>
              <w:rPr>
                <w:rFonts w:cs="Arial"/>
              </w:rPr>
            </w:pPr>
            <w:r w:rsidRPr="00C01647">
              <w:rPr>
                <w:rFonts w:cs="Arial"/>
              </w:rPr>
              <w:t xml:space="preserve">Provide targeted intervention and support to quickly address identified gaps in learning including the use of small group work, 1:1 tuition </w:t>
            </w:r>
          </w:p>
          <w:p w14:paraId="0D385F33" w14:textId="47BD7067" w:rsidR="00C01647" w:rsidRPr="00C01647" w:rsidRDefault="00C01647" w:rsidP="00C01647">
            <w:pPr>
              <w:pStyle w:val="ListParagraph"/>
              <w:numPr>
                <w:ilvl w:val="0"/>
                <w:numId w:val="28"/>
              </w:numPr>
              <w:rPr>
                <w:rFonts w:cs="Arial"/>
              </w:rPr>
            </w:pPr>
            <w:r w:rsidRPr="00C01647">
              <w:rPr>
                <w:rFonts w:cs="Arial"/>
              </w:rPr>
              <w:t xml:space="preserve">Target funding to ensure that all pupils have access to first hand learning experiences </w:t>
            </w:r>
          </w:p>
          <w:p w14:paraId="3825D58D" w14:textId="77777777" w:rsidR="00C01647" w:rsidRPr="006008F0" w:rsidRDefault="00C01647" w:rsidP="00C01647">
            <w:pPr>
              <w:pStyle w:val="ListParagraph"/>
              <w:numPr>
                <w:ilvl w:val="0"/>
                <w:numId w:val="28"/>
              </w:numPr>
              <w:rPr>
                <w:rFonts w:cs="Arial"/>
              </w:rPr>
            </w:pPr>
            <w:r w:rsidRPr="006008F0">
              <w:rPr>
                <w:rFonts w:cs="Arial"/>
              </w:rPr>
              <w:lastRenderedPageBreak/>
              <w:t xml:space="preserve">Provide opportunities for all pupils to participate in enrichment activities including sport and music </w:t>
            </w:r>
          </w:p>
          <w:p w14:paraId="2A7D54E9" w14:textId="14C0D33D" w:rsidR="00C01647" w:rsidRPr="006008F0" w:rsidRDefault="00C01647" w:rsidP="006008F0">
            <w:pPr>
              <w:ind w:left="432"/>
              <w:rPr>
                <w:rFonts w:cs="Arial"/>
              </w:rPr>
            </w:pPr>
          </w:p>
        </w:tc>
      </w:tr>
    </w:tbl>
    <w:p w14:paraId="2A7D54EB" w14:textId="77777777" w:rsidR="00E66558" w:rsidRPr="004E3DE5" w:rsidRDefault="009D71E8">
      <w:pPr>
        <w:pStyle w:val="Heading2"/>
        <w:spacing w:before="600"/>
        <w:rPr>
          <w:rFonts w:cs="Arial"/>
        </w:rPr>
      </w:pPr>
      <w:r w:rsidRPr="004E3DE5">
        <w:rPr>
          <w:rFonts w:cs="Arial"/>
        </w:rPr>
        <w:lastRenderedPageBreak/>
        <w:t>Challenges</w:t>
      </w:r>
    </w:p>
    <w:p w14:paraId="2A7D54EC" w14:textId="77777777" w:rsidR="00E66558" w:rsidRPr="004E3DE5" w:rsidRDefault="009D71E8">
      <w:pPr>
        <w:spacing w:before="120" w:line="240" w:lineRule="auto"/>
        <w:textAlignment w:val="baseline"/>
        <w:outlineLvl w:val="0"/>
        <w:rPr>
          <w:rFonts w:cs="Arial"/>
        </w:rPr>
      </w:pPr>
      <w:r w:rsidRPr="004E3DE5">
        <w:rPr>
          <w:rFonts w:cs="Arial"/>
          <w:bCs/>
          <w:color w:val="auto"/>
        </w:rPr>
        <w:t>This details</w:t>
      </w:r>
      <w:r w:rsidRPr="004E3DE5">
        <w:rPr>
          <w:rFonts w:cs="Arial"/>
          <w:color w:val="auto"/>
        </w:rPr>
        <w:t xml:space="preserve"> the key</w:t>
      </w:r>
      <w:r w:rsidRPr="004E3DE5">
        <w:rPr>
          <w:rFonts w:cs="Arial"/>
          <w:bCs/>
          <w:color w:val="auto"/>
        </w:rPr>
        <w:t xml:space="preserve"> </w:t>
      </w:r>
      <w:r w:rsidRPr="004E3DE5">
        <w:rPr>
          <w:rFonts w:cs="Arial"/>
          <w:color w:val="auto"/>
        </w:rPr>
        <w:t xml:space="preserve">challenges to </w:t>
      </w:r>
      <w:r w:rsidRPr="004E3DE5">
        <w:rPr>
          <w:rFonts w:cs="Arial"/>
          <w:bCs/>
          <w:color w:val="auto"/>
        </w:rPr>
        <w:t>achievement that we have</w:t>
      </w:r>
      <w:r w:rsidRPr="004E3DE5">
        <w:rPr>
          <w:rFonts w:cs="Arial"/>
          <w:color w:val="auto"/>
        </w:rPr>
        <w:t xml:space="preserve"> identified among </w:t>
      </w:r>
      <w:r w:rsidRPr="004E3DE5">
        <w:rPr>
          <w:rFonts w:cs="Arial"/>
          <w:bCs/>
          <w:color w:val="auto"/>
        </w:rPr>
        <w:t>our</w:t>
      </w:r>
      <w:r w:rsidRPr="004E3DE5">
        <w:rPr>
          <w:rFonts w:cs="Arial"/>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4E3DE5"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4E3DE5" w:rsidRDefault="009D71E8">
            <w:pPr>
              <w:pStyle w:val="TableHeader"/>
              <w:jc w:val="left"/>
              <w:rPr>
                <w:rFonts w:cs="Arial"/>
              </w:rPr>
            </w:pPr>
            <w:r w:rsidRPr="004E3DE5">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4E3DE5" w:rsidRDefault="009D71E8">
            <w:pPr>
              <w:pStyle w:val="TableHeader"/>
              <w:jc w:val="left"/>
              <w:rPr>
                <w:rFonts w:cs="Arial"/>
              </w:rPr>
            </w:pPr>
            <w:r w:rsidRPr="004E3DE5">
              <w:rPr>
                <w:rFonts w:cs="Arial"/>
              </w:rPr>
              <w:t xml:space="preserve">Detail of challenge </w:t>
            </w:r>
          </w:p>
        </w:tc>
      </w:tr>
      <w:tr w:rsidR="00E66558" w:rsidRPr="004E3DE5"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4E3DE5" w:rsidRDefault="009D71E8">
            <w:pPr>
              <w:pStyle w:val="TableRow"/>
              <w:rPr>
                <w:rFonts w:cs="Arial"/>
                <w:sz w:val="22"/>
                <w:szCs w:val="22"/>
              </w:rPr>
            </w:pPr>
            <w:r w:rsidRPr="004E3DE5">
              <w:rPr>
                <w:rFonts w:cs="Arial"/>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6853BE5" w:rsidR="00E66558" w:rsidRPr="004E3DE5" w:rsidRDefault="000E3E05">
            <w:pPr>
              <w:pStyle w:val="TableRowCentered"/>
              <w:jc w:val="left"/>
              <w:rPr>
                <w:rFonts w:cs="Arial"/>
              </w:rPr>
            </w:pPr>
            <w:r w:rsidRPr="004E3DE5">
              <w:rPr>
                <w:rFonts w:cs="Arial"/>
                <w:sz w:val="22"/>
                <w:szCs w:val="22"/>
              </w:rPr>
              <w:t>In EYFS, some children enter school with lower oral language and communication skills and require specific intervention or SALT to support to close the gap.</w:t>
            </w:r>
          </w:p>
        </w:tc>
      </w:tr>
      <w:tr w:rsidR="00E66558" w:rsidRPr="004E3DE5"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4E3DE5" w:rsidRDefault="009D71E8">
            <w:pPr>
              <w:pStyle w:val="TableRow"/>
              <w:rPr>
                <w:rFonts w:cs="Arial"/>
                <w:sz w:val="22"/>
                <w:szCs w:val="22"/>
              </w:rPr>
            </w:pPr>
            <w:r w:rsidRPr="004E3DE5">
              <w:rPr>
                <w:rFonts w:cs="Arial"/>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3F0124C" w:rsidR="00E66558" w:rsidRPr="004E3DE5" w:rsidRDefault="000E3E05">
            <w:pPr>
              <w:pStyle w:val="TableRowCentered"/>
              <w:jc w:val="left"/>
              <w:rPr>
                <w:rFonts w:cs="Arial"/>
                <w:sz w:val="22"/>
                <w:szCs w:val="22"/>
              </w:rPr>
            </w:pPr>
            <w:r w:rsidRPr="004E3DE5">
              <w:rPr>
                <w:rFonts w:cs="Arial"/>
                <w:sz w:val="22"/>
                <w:szCs w:val="22"/>
              </w:rPr>
              <w:t>Historically, a significant proportion of PP children are falling marginally behind their peers in writing and mathematics.</w:t>
            </w:r>
          </w:p>
        </w:tc>
      </w:tr>
      <w:tr w:rsidR="00E66558" w:rsidRPr="004E3DE5"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4E3DE5" w:rsidRDefault="009D71E8">
            <w:pPr>
              <w:pStyle w:val="TableRow"/>
              <w:rPr>
                <w:rFonts w:cs="Arial"/>
                <w:sz w:val="22"/>
                <w:szCs w:val="22"/>
              </w:rPr>
            </w:pPr>
            <w:r w:rsidRPr="004E3DE5">
              <w:rPr>
                <w:rFonts w:cs="Arial"/>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BF79CBD" w:rsidR="00E66558" w:rsidRPr="00AA4025" w:rsidRDefault="00AA4025">
            <w:pPr>
              <w:pStyle w:val="TableRowCentered"/>
              <w:jc w:val="left"/>
              <w:rPr>
                <w:rFonts w:cs="Arial"/>
                <w:sz w:val="22"/>
                <w:szCs w:val="22"/>
              </w:rPr>
            </w:pPr>
            <w:r w:rsidRPr="00AA4025">
              <w:rPr>
                <w:rFonts w:cs="Arial"/>
                <w:sz w:val="22"/>
                <w:szCs w:val="22"/>
              </w:rPr>
              <w:t>28</w:t>
            </w:r>
            <w:r w:rsidR="000E3E05" w:rsidRPr="00AA4025">
              <w:rPr>
                <w:rFonts w:cs="Arial"/>
                <w:sz w:val="22"/>
                <w:szCs w:val="22"/>
              </w:rPr>
              <w:t>% of PP are also on the SEND register</w:t>
            </w:r>
            <w:r w:rsidRPr="00AA4025">
              <w:rPr>
                <w:rFonts w:cs="Arial"/>
                <w:sz w:val="22"/>
                <w:szCs w:val="22"/>
              </w:rPr>
              <w:t xml:space="preserve"> (7/25</w:t>
            </w:r>
            <w:r w:rsidR="002F5A86" w:rsidRPr="00AA4025">
              <w:rPr>
                <w:rFonts w:cs="Arial"/>
                <w:sz w:val="22"/>
                <w:szCs w:val="22"/>
              </w:rPr>
              <w:t>)</w:t>
            </w:r>
            <w:r w:rsidR="000E3E05" w:rsidRPr="00AA4025">
              <w:rPr>
                <w:rFonts w:cs="Arial"/>
                <w:sz w:val="22"/>
                <w:szCs w:val="22"/>
              </w:rPr>
              <w:t xml:space="preserve">.  </w:t>
            </w:r>
          </w:p>
        </w:tc>
      </w:tr>
      <w:tr w:rsidR="00E66558" w:rsidRPr="004E3DE5"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4E3DE5" w:rsidRDefault="009D71E8">
            <w:pPr>
              <w:pStyle w:val="TableRow"/>
              <w:rPr>
                <w:rFonts w:cs="Arial"/>
                <w:sz w:val="22"/>
                <w:szCs w:val="22"/>
              </w:rPr>
            </w:pPr>
            <w:r w:rsidRPr="004E3DE5">
              <w:rPr>
                <w:rFonts w:cs="Arial"/>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14EFABF" w:rsidR="00E66558" w:rsidRPr="004F7FE4" w:rsidRDefault="000A7844" w:rsidP="00AA4025">
            <w:pPr>
              <w:pStyle w:val="TableRowCentered"/>
              <w:ind w:left="0"/>
              <w:jc w:val="left"/>
              <w:rPr>
                <w:rFonts w:cs="Arial"/>
                <w:iCs/>
                <w:sz w:val="22"/>
                <w:highlight w:val="yellow"/>
              </w:rPr>
            </w:pPr>
            <w:r w:rsidRPr="00556899">
              <w:rPr>
                <w:rFonts w:cs="Arial"/>
                <w:sz w:val="22"/>
                <w:szCs w:val="22"/>
              </w:rPr>
              <w:t xml:space="preserve">Attendance – </w:t>
            </w:r>
            <w:r w:rsidR="00AA4025" w:rsidRPr="00556899">
              <w:rPr>
                <w:rFonts w:cs="Arial"/>
                <w:sz w:val="22"/>
                <w:szCs w:val="22"/>
              </w:rPr>
              <w:t>31</w:t>
            </w:r>
            <w:r w:rsidR="00A67A05" w:rsidRPr="00556899">
              <w:rPr>
                <w:rFonts w:cs="Arial"/>
                <w:color w:val="auto"/>
                <w:sz w:val="22"/>
                <w:szCs w:val="22"/>
              </w:rPr>
              <w:t>%</w:t>
            </w:r>
            <w:r w:rsidR="00A67A05" w:rsidRPr="00556899">
              <w:rPr>
                <w:rFonts w:cs="Arial"/>
                <w:color w:val="FF0000"/>
                <w:sz w:val="22"/>
                <w:szCs w:val="22"/>
              </w:rPr>
              <w:t xml:space="preserve"> </w:t>
            </w:r>
            <w:r w:rsidR="00A67A05" w:rsidRPr="00556899">
              <w:rPr>
                <w:rFonts w:cs="Arial"/>
                <w:color w:val="auto"/>
                <w:sz w:val="22"/>
                <w:szCs w:val="22"/>
              </w:rPr>
              <w:t>of</w:t>
            </w:r>
            <w:r w:rsidRPr="00556899">
              <w:rPr>
                <w:rFonts w:cs="Arial"/>
                <w:color w:val="FF0000"/>
                <w:sz w:val="22"/>
                <w:szCs w:val="22"/>
              </w:rPr>
              <w:t xml:space="preserve"> </w:t>
            </w:r>
            <w:r w:rsidRPr="00556899">
              <w:rPr>
                <w:rFonts w:cs="Arial"/>
                <w:sz w:val="22"/>
                <w:szCs w:val="22"/>
              </w:rPr>
              <w:t xml:space="preserve">PP attendance was below 95% </w:t>
            </w:r>
            <w:r w:rsidR="00A67A05" w:rsidRPr="00556899">
              <w:rPr>
                <w:rFonts w:cs="Arial"/>
                <w:sz w:val="22"/>
                <w:szCs w:val="22"/>
              </w:rPr>
              <w:t>from March -June 2021</w:t>
            </w:r>
          </w:p>
        </w:tc>
      </w:tr>
      <w:tr w:rsidR="00E66558" w:rsidRPr="004E3DE5"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4E3DE5" w:rsidRDefault="009D71E8">
            <w:pPr>
              <w:pStyle w:val="TableRow"/>
              <w:rPr>
                <w:rFonts w:cs="Arial"/>
                <w:sz w:val="22"/>
                <w:szCs w:val="22"/>
              </w:rPr>
            </w:pPr>
            <w:bookmarkStart w:id="17" w:name="_Toc443397160"/>
            <w:r w:rsidRPr="004E3DE5">
              <w:rPr>
                <w:rFonts w:cs="Arial"/>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F16E78E" w:rsidR="00E66558" w:rsidRPr="004E3DE5" w:rsidRDefault="000A7844">
            <w:pPr>
              <w:pStyle w:val="TableRowCentered"/>
              <w:jc w:val="left"/>
              <w:rPr>
                <w:rFonts w:cs="Arial"/>
                <w:iCs/>
                <w:sz w:val="22"/>
              </w:rPr>
            </w:pPr>
            <w:r w:rsidRPr="004E3DE5">
              <w:rPr>
                <w:rFonts w:cs="Arial"/>
                <w:sz w:val="22"/>
                <w:szCs w:val="22"/>
              </w:rPr>
              <w:t>For many children who are eligible for PP, their social and emotional readiness for learning is often a barrier due to their home learning environment.</w:t>
            </w:r>
          </w:p>
        </w:tc>
      </w:tr>
    </w:tbl>
    <w:p w14:paraId="2A7D54FF" w14:textId="20D77173" w:rsidR="00E66558" w:rsidRPr="004E3DE5" w:rsidRDefault="009D71E8">
      <w:pPr>
        <w:pStyle w:val="Heading2"/>
        <w:spacing w:before="600"/>
        <w:rPr>
          <w:rFonts w:cs="Arial"/>
        </w:rPr>
      </w:pPr>
      <w:r w:rsidRPr="004E3DE5">
        <w:rPr>
          <w:rFonts w:cs="Arial"/>
        </w:rPr>
        <w:t xml:space="preserve">Intended outcomes </w:t>
      </w:r>
    </w:p>
    <w:p w14:paraId="2A7D5500" w14:textId="0D8C3536" w:rsidR="00E66558" w:rsidRPr="004E3DE5" w:rsidRDefault="009D71E8">
      <w:pPr>
        <w:rPr>
          <w:rFonts w:cs="Arial"/>
          <w:color w:val="auto"/>
        </w:rPr>
      </w:pPr>
      <w:r w:rsidRPr="004E3DE5">
        <w:rPr>
          <w:rFonts w:cs="Arial"/>
          <w:color w:val="auto"/>
        </w:rPr>
        <w:t xml:space="preserve">This explains the outcomes we are aiming for </w:t>
      </w:r>
      <w:r w:rsidRPr="004E3DE5">
        <w:rPr>
          <w:rFonts w:cs="Arial"/>
          <w:b/>
          <w:bCs/>
          <w:color w:val="auto"/>
        </w:rPr>
        <w:t>by the end of our current strategy plan</w:t>
      </w:r>
      <w:r w:rsidRPr="004E3DE5">
        <w:rPr>
          <w:rFonts w:cs="Arial"/>
          <w:color w:val="auto"/>
        </w:rPr>
        <w:t>, and how we will measure whether they have been achieved.</w:t>
      </w:r>
    </w:p>
    <w:tbl>
      <w:tblPr>
        <w:tblW w:w="5604" w:type="pct"/>
        <w:tblInd w:w="-431" w:type="dxa"/>
        <w:tblCellMar>
          <w:left w:w="10" w:type="dxa"/>
          <w:right w:w="10" w:type="dxa"/>
        </w:tblCellMar>
        <w:tblLook w:val="04A0" w:firstRow="1" w:lastRow="0" w:firstColumn="1" w:lastColumn="0" w:noHBand="0" w:noVBand="1"/>
      </w:tblPr>
      <w:tblGrid>
        <w:gridCol w:w="5246"/>
        <w:gridCol w:w="5386"/>
      </w:tblGrid>
      <w:tr w:rsidR="00E66558" w:rsidRPr="004E3DE5" w14:paraId="2A7D5503" w14:textId="77777777" w:rsidTr="007B3375">
        <w:tc>
          <w:tcPr>
            <w:tcW w:w="524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7B3375" w:rsidRDefault="009D71E8">
            <w:pPr>
              <w:pStyle w:val="TableHeader"/>
              <w:jc w:val="left"/>
              <w:rPr>
                <w:rFonts w:cs="Arial"/>
                <w:sz w:val="20"/>
                <w:szCs w:val="20"/>
              </w:rPr>
            </w:pPr>
            <w:r w:rsidRPr="007B3375">
              <w:rPr>
                <w:rFonts w:cs="Arial"/>
                <w:sz w:val="20"/>
                <w:szCs w:val="20"/>
              </w:rPr>
              <w:t>Intended outcome</w:t>
            </w:r>
          </w:p>
        </w:tc>
        <w:tc>
          <w:tcPr>
            <w:tcW w:w="53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7B3375" w:rsidRDefault="009D71E8">
            <w:pPr>
              <w:pStyle w:val="TableHeader"/>
              <w:jc w:val="left"/>
              <w:rPr>
                <w:rFonts w:cs="Arial"/>
                <w:sz w:val="20"/>
                <w:szCs w:val="20"/>
              </w:rPr>
            </w:pPr>
            <w:r w:rsidRPr="007B3375">
              <w:rPr>
                <w:rFonts w:cs="Arial"/>
                <w:sz w:val="20"/>
                <w:szCs w:val="20"/>
              </w:rPr>
              <w:t>Success criteria</w:t>
            </w:r>
          </w:p>
        </w:tc>
      </w:tr>
      <w:tr w:rsidR="00887090" w:rsidRPr="004E3DE5" w14:paraId="2A7D5506" w14:textId="77777777" w:rsidTr="007B3375">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70A84F7" w:rsidR="00887090" w:rsidRPr="004E3DE5" w:rsidRDefault="00887090" w:rsidP="00887090">
            <w:pPr>
              <w:pStyle w:val="TableRow"/>
              <w:rPr>
                <w:rFonts w:cs="Arial"/>
              </w:rPr>
            </w:pPr>
            <w:r w:rsidRPr="004E3DE5">
              <w:rPr>
                <w:rFonts w:cs="Arial"/>
                <w:sz w:val="22"/>
                <w:szCs w:val="22"/>
              </w:rPr>
              <w:t>To improve oral language and communication skills for pupils eligible for PP funding.</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6FAB08D" w:rsidR="00887090" w:rsidRPr="004E3DE5" w:rsidRDefault="00887090" w:rsidP="00887090">
            <w:pPr>
              <w:pStyle w:val="TableRowCentered"/>
              <w:jc w:val="left"/>
              <w:rPr>
                <w:rFonts w:cs="Arial"/>
                <w:sz w:val="22"/>
                <w:szCs w:val="22"/>
              </w:rPr>
            </w:pPr>
            <w:r w:rsidRPr="004E3DE5">
              <w:rPr>
                <w:rFonts w:cs="Arial"/>
                <w:sz w:val="22"/>
                <w:szCs w:val="22"/>
              </w:rPr>
              <w:t xml:space="preserve">The gap for oral and communication skills between PP and non-PP children has narrowed as a result of direct intervention </w:t>
            </w:r>
            <w:r w:rsidR="00653012" w:rsidRPr="004E3DE5">
              <w:rPr>
                <w:rFonts w:cs="Arial"/>
                <w:sz w:val="22"/>
                <w:szCs w:val="22"/>
              </w:rPr>
              <w:t>through</w:t>
            </w:r>
            <w:r w:rsidR="004A64CC">
              <w:rPr>
                <w:rFonts w:cs="Arial"/>
                <w:sz w:val="22"/>
                <w:szCs w:val="22"/>
              </w:rPr>
              <w:t xml:space="preserve"> the nelly introduced intervention</w:t>
            </w:r>
            <w:r w:rsidR="00653012" w:rsidRPr="004E3DE5">
              <w:rPr>
                <w:rFonts w:cs="Arial"/>
                <w:sz w:val="22"/>
                <w:szCs w:val="22"/>
              </w:rPr>
              <w:t xml:space="preserve"> WELLCOMM programmes.  </w:t>
            </w:r>
          </w:p>
        </w:tc>
      </w:tr>
      <w:tr w:rsidR="00887090" w:rsidRPr="004E3DE5" w14:paraId="2A7D5509" w14:textId="77777777" w:rsidTr="007B3375">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B0612D9" w:rsidR="00887090" w:rsidRPr="004E3DE5" w:rsidRDefault="00887090" w:rsidP="00887090">
            <w:pPr>
              <w:pStyle w:val="TableRow"/>
              <w:rPr>
                <w:rFonts w:cs="Arial"/>
                <w:sz w:val="22"/>
                <w:szCs w:val="22"/>
              </w:rPr>
            </w:pPr>
            <w:r w:rsidRPr="004E3DE5">
              <w:rPr>
                <w:rFonts w:cs="Arial"/>
                <w:sz w:val="22"/>
                <w:szCs w:val="22"/>
              </w:rPr>
              <w:t xml:space="preserve">First quality teaching in </w:t>
            </w:r>
            <w:r w:rsidR="00255DB3">
              <w:rPr>
                <w:rFonts w:cs="Arial"/>
                <w:sz w:val="22"/>
                <w:szCs w:val="22"/>
              </w:rPr>
              <w:t xml:space="preserve">reading, </w:t>
            </w:r>
            <w:r w:rsidRPr="004E3DE5">
              <w:rPr>
                <w:rFonts w:cs="Arial"/>
                <w:sz w:val="22"/>
                <w:szCs w:val="22"/>
              </w:rPr>
              <w:t xml:space="preserve">writing and mathematics across the school is a key focus in developing the different skills and concepts to ensure accelerated progress is evident for pupils eligible for PP funding.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46B2" w14:textId="63792598" w:rsidR="00887090" w:rsidRPr="004E3DE5" w:rsidRDefault="00887090" w:rsidP="00887090">
            <w:pPr>
              <w:rPr>
                <w:rFonts w:cs="Arial"/>
                <w:sz w:val="22"/>
                <w:szCs w:val="22"/>
              </w:rPr>
            </w:pPr>
            <w:r w:rsidRPr="004E3DE5">
              <w:rPr>
                <w:rFonts w:cs="Arial"/>
                <w:sz w:val="22"/>
                <w:szCs w:val="22"/>
              </w:rPr>
              <w:t xml:space="preserve">Children eligible for PP make </w:t>
            </w:r>
            <w:r w:rsidR="006B43CC" w:rsidRPr="004E3DE5">
              <w:rPr>
                <w:rFonts w:cs="Arial"/>
                <w:sz w:val="22"/>
                <w:szCs w:val="22"/>
              </w:rPr>
              <w:t>accelerated</w:t>
            </w:r>
            <w:r w:rsidRPr="004E3DE5">
              <w:rPr>
                <w:rFonts w:cs="Arial"/>
                <w:sz w:val="22"/>
                <w:szCs w:val="22"/>
              </w:rPr>
              <w:t xml:space="preserve"> progress </w:t>
            </w:r>
            <w:r w:rsidR="00B808A7" w:rsidRPr="004E3DE5">
              <w:rPr>
                <w:rFonts w:cs="Arial"/>
                <w:sz w:val="22"/>
                <w:szCs w:val="22"/>
              </w:rPr>
              <w:t>in comparison to</w:t>
            </w:r>
            <w:r w:rsidRPr="004E3DE5">
              <w:rPr>
                <w:rFonts w:cs="Arial"/>
                <w:sz w:val="22"/>
                <w:szCs w:val="22"/>
              </w:rPr>
              <w:t xml:space="preserve"> non-PP children across all year groups in writing and mathematics.</w:t>
            </w:r>
          </w:p>
          <w:p w14:paraId="44579D9C" w14:textId="3FAAB412" w:rsidR="00887090" w:rsidRPr="004E3DE5" w:rsidRDefault="00887090" w:rsidP="00860512">
            <w:pPr>
              <w:rPr>
                <w:rFonts w:cs="Arial"/>
                <w:sz w:val="22"/>
                <w:szCs w:val="22"/>
              </w:rPr>
            </w:pPr>
            <w:r w:rsidRPr="004E3DE5">
              <w:rPr>
                <w:rFonts w:cs="Arial"/>
                <w:sz w:val="22"/>
                <w:szCs w:val="22"/>
              </w:rPr>
              <w:t xml:space="preserve">At the end of KS1 and KS2, percentages for the expected standard are in line with the National Average for </w:t>
            </w:r>
            <w:r w:rsidRPr="008A3A4F">
              <w:rPr>
                <w:rFonts w:cs="Arial"/>
                <w:sz w:val="22"/>
                <w:szCs w:val="22"/>
              </w:rPr>
              <w:t xml:space="preserve">writing </w:t>
            </w:r>
            <w:r w:rsidR="008A3A4F" w:rsidRPr="008A3A4F">
              <w:rPr>
                <w:rFonts w:cs="Arial"/>
                <w:sz w:val="22"/>
                <w:szCs w:val="22"/>
              </w:rPr>
              <w:t>and mathematics</w:t>
            </w:r>
          </w:p>
          <w:p w14:paraId="2A7D5508" w14:textId="2F69606B" w:rsidR="00653012" w:rsidRPr="004E3DE5" w:rsidRDefault="00653012" w:rsidP="00860512">
            <w:pPr>
              <w:rPr>
                <w:rFonts w:cs="Arial"/>
                <w:sz w:val="22"/>
                <w:szCs w:val="22"/>
              </w:rPr>
            </w:pPr>
            <w:r w:rsidRPr="004E3DE5">
              <w:rPr>
                <w:rFonts w:cs="Arial"/>
                <w:sz w:val="22"/>
                <w:szCs w:val="22"/>
              </w:rPr>
              <w:t>Focused Mathematics intervention will consist of Plus 1 and Power of 2 in KS1 and Success @ Arithmetic in KS2.</w:t>
            </w:r>
          </w:p>
        </w:tc>
      </w:tr>
      <w:tr w:rsidR="00860512" w:rsidRPr="004E3DE5" w14:paraId="2A7D550C" w14:textId="77777777" w:rsidTr="007B3375">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CF1CD" w14:textId="77777777" w:rsidR="00860512" w:rsidRPr="004E3DE5" w:rsidRDefault="00860512" w:rsidP="00860512">
            <w:pPr>
              <w:rPr>
                <w:rFonts w:cs="Arial"/>
                <w:sz w:val="22"/>
                <w:szCs w:val="22"/>
              </w:rPr>
            </w:pPr>
            <w:r w:rsidRPr="004E3DE5">
              <w:rPr>
                <w:rFonts w:cs="Arial"/>
                <w:sz w:val="22"/>
                <w:szCs w:val="22"/>
              </w:rPr>
              <w:t xml:space="preserve">Attendance percentages have increased for all PP and non-PP children to at least 95%.  </w:t>
            </w:r>
          </w:p>
          <w:p w14:paraId="3AD503D0" w14:textId="77777777" w:rsidR="00860512" w:rsidRPr="004E3DE5" w:rsidRDefault="00860512" w:rsidP="00860512">
            <w:pPr>
              <w:rPr>
                <w:rFonts w:cs="Arial"/>
                <w:sz w:val="22"/>
                <w:szCs w:val="22"/>
              </w:rPr>
            </w:pPr>
            <w:r w:rsidRPr="004E3DE5">
              <w:rPr>
                <w:rFonts w:cs="Arial"/>
                <w:sz w:val="22"/>
                <w:szCs w:val="22"/>
              </w:rPr>
              <w:t>The percentage of children who are persistent absentees has decreased across the school.</w:t>
            </w:r>
          </w:p>
          <w:p w14:paraId="2A7D550A" w14:textId="147B3D58" w:rsidR="00860512" w:rsidRPr="004E3DE5" w:rsidRDefault="00860512" w:rsidP="00860512">
            <w:pPr>
              <w:pStyle w:val="TableRow"/>
              <w:rPr>
                <w:rFonts w:cs="Arial"/>
                <w:sz w:val="22"/>
                <w:szCs w:val="22"/>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02133" w14:textId="77777777" w:rsidR="00860512" w:rsidRPr="004E3DE5" w:rsidRDefault="00860512" w:rsidP="00860512">
            <w:pPr>
              <w:rPr>
                <w:rFonts w:cs="Arial"/>
                <w:sz w:val="22"/>
                <w:szCs w:val="22"/>
              </w:rPr>
            </w:pPr>
            <w:r w:rsidRPr="004E3DE5">
              <w:rPr>
                <w:rFonts w:cs="Arial"/>
                <w:sz w:val="22"/>
                <w:szCs w:val="22"/>
              </w:rPr>
              <w:t>Barriers to PP attendance have been identified and support has been put in place to overcome these.</w:t>
            </w:r>
          </w:p>
          <w:p w14:paraId="2A7D550B" w14:textId="350664D0" w:rsidR="00860512" w:rsidRPr="004E3DE5" w:rsidRDefault="00860512" w:rsidP="00860512">
            <w:pPr>
              <w:pStyle w:val="TableRowCentered"/>
              <w:jc w:val="left"/>
              <w:rPr>
                <w:rFonts w:cs="Arial"/>
                <w:sz w:val="22"/>
                <w:szCs w:val="22"/>
              </w:rPr>
            </w:pPr>
            <w:r w:rsidRPr="004E3DE5">
              <w:rPr>
                <w:rFonts w:cs="Arial"/>
                <w:sz w:val="22"/>
                <w:szCs w:val="22"/>
              </w:rPr>
              <w:t>Through close monitoring, and following the School’s Attendance Policy, the PP children have a similar attendance rate as all other children (95% and above).</w:t>
            </w:r>
          </w:p>
        </w:tc>
      </w:tr>
      <w:tr w:rsidR="00860512" w:rsidRPr="004E3DE5" w14:paraId="2A7D550F" w14:textId="77777777" w:rsidTr="007B3375">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A4C97D5" w:rsidR="00860512" w:rsidRPr="004E3DE5" w:rsidRDefault="00860512" w:rsidP="00860512">
            <w:pPr>
              <w:pStyle w:val="TableRow"/>
              <w:rPr>
                <w:rFonts w:cs="Arial"/>
                <w:sz w:val="22"/>
                <w:szCs w:val="22"/>
              </w:rPr>
            </w:pPr>
            <w:r w:rsidRPr="004E3DE5">
              <w:rPr>
                <w:rFonts w:cs="Arial"/>
                <w:sz w:val="22"/>
                <w:szCs w:val="22"/>
              </w:rPr>
              <w:t>Support all PP children in being socially and emotionally ready to learn.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3989F93" w:rsidR="00860512" w:rsidRPr="004E3DE5" w:rsidRDefault="00860512" w:rsidP="00860512">
            <w:pPr>
              <w:pStyle w:val="TableRowCentered"/>
              <w:jc w:val="left"/>
              <w:rPr>
                <w:rFonts w:cs="Arial"/>
                <w:sz w:val="22"/>
                <w:szCs w:val="22"/>
              </w:rPr>
            </w:pPr>
            <w:r w:rsidRPr="004E3DE5">
              <w:rPr>
                <w:rFonts w:cs="Arial"/>
                <w:sz w:val="22"/>
                <w:szCs w:val="22"/>
              </w:rPr>
              <w:t xml:space="preserve">Children who are eligible for PP funding have developed their social and emotional skills through focused therapy work </w:t>
            </w:r>
            <w:r w:rsidR="006C395E">
              <w:rPr>
                <w:rFonts w:cs="Arial"/>
                <w:sz w:val="22"/>
                <w:szCs w:val="22"/>
              </w:rPr>
              <w:t xml:space="preserve">(sensory circuits) </w:t>
            </w:r>
            <w:r w:rsidRPr="004E3DE5">
              <w:rPr>
                <w:rFonts w:cs="Arial"/>
                <w:sz w:val="22"/>
                <w:szCs w:val="22"/>
              </w:rPr>
              <w:t xml:space="preserve">and are ready to learn on a daily basis. </w:t>
            </w:r>
          </w:p>
        </w:tc>
      </w:tr>
      <w:tr w:rsidR="00860512" w:rsidRPr="004E3DE5" w14:paraId="35DC898F" w14:textId="77777777" w:rsidTr="007B3375">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4925D" w14:textId="1C02E32F" w:rsidR="00860512" w:rsidRPr="004E3DE5" w:rsidRDefault="00860512" w:rsidP="00860512">
            <w:pPr>
              <w:pStyle w:val="TableRow"/>
              <w:rPr>
                <w:rFonts w:cs="Arial"/>
                <w:sz w:val="22"/>
                <w:szCs w:val="22"/>
              </w:rPr>
            </w:pPr>
            <w:r w:rsidRPr="004E3DE5">
              <w:rPr>
                <w:rFonts w:cs="Arial"/>
                <w:sz w:val="22"/>
                <w:szCs w:val="22"/>
              </w:rPr>
              <w:t>Implement high quality intervention and</w:t>
            </w:r>
            <w:r w:rsidR="006C395E">
              <w:rPr>
                <w:rFonts w:cs="Arial"/>
                <w:sz w:val="22"/>
                <w:szCs w:val="22"/>
              </w:rPr>
              <w:t xml:space="preserve"> </w:t>
            </w:r>
            <w:proofErr w:type="spellStart"/>
            <w:r w:rsidR="006C395E">
              <w:rPr>
                <w:rFonts w:cs="Arial"/>
                <w:sz w:val="22"/>
                <w:szCs w:val="22"/>
              </w:rPr>
              <w:t>PiXL</w:t>
            </w:r>
            <w:proofErr w:type="spellEnd"/>
            <w:r w:rsidRPr="004E3DE5">
              <w:rPr>
                <w:rFonts w:cs="Arial"/>
                <w:sz w:val="22"/>
                <w:szCs w:val="22"/>
              </w:rPr>
              <w:t xml:space="preserve"> therapies across the school in reading, writing and maths so that gaps in learning are narrowed.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FC670" w14:textId="1AC2206D" w:rsidR="00860512" w:rsidRPr="004E3DE5" w:rsidRDefault="00860512" w:rsidP="00860512">
            <w:pPr>
              <w:pStyle w:val="TableRowCentered"/>
              <w:jc w:val="left"/>
              <w:rPr>
                <w:rFonts w:cs="Arial"/>
                <w:sz w:val="22"/>
                <w:szCs w:val="22"/>
              </w:rPr>
            </w:pPr>
            <w:r w:rsidRPr="004E3DE5">
              <w:rPr>
                <w:rFonts w:cs="Arial"/>
                <w:sz w:val="22"/>
                <w:szCs w:val="22"/>
              </w:rPr>
              <w:t xml:space="preserve">Progress and attainment in reading, writing and maths is improved so that by the end of KS2 the gap has been closed for the progress between PP and non-PP children. </w:t>
            </w:r>
          </w:p>
        </w:tc>
      </w:tr>
    </w:tbl>
    <w:p w14:paraId="2A7D5512" w14:textId="7B489199" w:rsidR="00E66558" w:rsidRPr="004E3DE5" w:rsidRDefault="009D71E8">
      <w:pPr>
        <w:pStyle w:val="Heading2"/>
        <w:rPr>
          <w:rFonts w:cs="Arial"/>
        </w:rPr>
      </w:pPr>
      <w:r w:rsidRPr="004E3DE5">
        <w:rPr>
          <w:rFonts w:cs="Arial"/>
        </w:rPr>
        <w:t>Activity in this academic year</w:t>
      </w:r>
    </w:p>
    <w:p w14:paraId="2A7D5513" w14:textId="77777777" w:rsidR="00E66558" w:rsidRPr="004E3DE5" w:rsidRDefault="009D71E8">
      <w:pPr>
        <w:spacing w:after="480"/>
        <w:rPr>
          <w:rFonts w:cs="Arial"/>
        </w:rPr>
      </w:pPr>
      <w:r w:rsidRPr="004E3DE5">
        <w:rPr>
          <w:rFonts w:cs="Arial"/>
        </w:rPr>
        <w:t xml:space="preserve">This details how we intend to spend our pupil premium (and recovery premium funding) </w:t>
      </w:r>
      <w:r w:rsidRPr="004E3DE5">
        <w:rPr>
          <w:rFonts w:cs="Arial"/>
          <w:b/>
          <w:bCs/>
        </w:rPr>
        <w:t>this academic year</w:t>
      </w:r>
      <w:r w:rsidRPr="004E3DE5">
        <w:rPr>
          <w:rFonts w:cs="Arial"/>
        </w:rPr>
        <w:t xml:space="preserve"> to address the challenges listed above.</w:t>
      </w:r>
    </w:p>
    <w:p w14:paraId="2A7D5514" w14:textId="77777777" w:rsidR="00E66558" w:rsidRPr="004E3DE5" w:rsidRDefault="009D71E8">
      <w:pPr>
        <w:pStyle w:val="Heading3"/>
        <w:rPr>
          <w:rFonts w:cs="Arial"/>
        </w:rPr>
      </w:pPr>
      <w:r w:rsidRPr="004E3DE5">
        <w:rPr>
          <w:rFonts w:cs="Arial"/>
        </w:rPr>
        <w:t>Teaching (for example, CPD, recruitment and retention)</w:t>
      </w:r>
    </w:p>
    <w:p w14:paraId="2A7D5515" w14:textId="2BAA664F" w:rsidR="00E66558" w:rsidRPr="004E3DE5" w:rsidRDefault="009D71E8">
      <w:pPr>
        <w:rPr>
          <w:rFonts w:cs="Arial"/>
        </w:rPr>
      </w:pPr>
      <w:r w:rsidRPr="004E3DE5">
        <w:rPr>
          <w:rFonts w:cs="Arial"/>
        </w:rPr>
        <w:t xml:space="preserve">Budgeted cost: </w:t>
      </w:r>
      <w:r w:rsidR="00F819A6">
        <w:rPr>
          <w:rFonts w:cs="Arial"/>
        </w:rPr>
        <w:t>£</w:t>
      </w:r>
      <w:r w:rsidR="003E6BCD">
        <w:rPr>
          <w:rFonts w:cs="Arial"/>
        </w:rPr>
        <w:t xml:space="preserve"> </w:t>
      </w:r>
      <w:r w:rsidR="00E956B8">
        <w:rPr>
          <w:rFonts w:cs="Arial"/>
        </w:rPr>
        <w:t>16 000</w:t>
      </w:r>
    </w:p>
    <w:tbl>
      <w:tblPr>
        <w:tblW w:w="5529" w:type="pct"/>
        <w:tblInd w:w="-289" w:type="dxa"/>
        <w:tblCellMar>
          <w:left w:w="10" w:type="dxa"/>
          <w:right w:w="10" w:type="dxa"/>
        </w:tblCellMar>
        <w:tblLook w:val="04A0" w:firstRow="1" w:lastRow="0" w:firstColumn="1" w:lastColumn="0" w:noHBand="0" w:noVBand="1"/>
      </w:tblPr>
      <w:tblGrid>
        <w:gridCol w:w="2634"/>
        <w:gridCol w:w="6525"/>
        <w:gridCol w:w="1331"/>
      </w:tblGrid>
      <w:tr w:rsidR="00E66558" w:rsidRPr="004E3DE5" w14:paraId="2A7D5519" w14:textId="77777777" w:rsidTr="00A155D3">
        <w:tc>
          <w:tcPr>
            <w:tcW w:w="263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FC3BAD" w:rsidRDefault="009D71E8">
            <w:pPr>
              <w:pStyle w:val="TableHeader"/>
              <w:jc w:val="left"/>
              <w:rPr>
                <w:rFonts w:cs="Arial"/>
                <w:sz w:val="20"/>
                <w:szCs w:val="20"/>
              </w:rPr>
            </w:pPr>
            <w:r w:rsidRPr="00FC3BAD">
              <w:rPr>
                <w:rFonts w:cs="Arial"/>
                <w:sz w:val="20"/>
                <w:szCs w:val="20"/>
              </w:rPr>
              <w:t>Activity</w:t>
            </w:r>
          </w:p>
        </w:tc>
        <w:tc>
          <w:tcPr>
            <w:tcW w:w="652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FC3BAD" w:rsidRDefault="009D71E8">
            <w:pPr>
              <w:pStyle w:val="TableHeader"/>
              <w:jc w:val="left"/>
              <w:rPr>
                <w:rFonts w:cs="Arial"/>
                <w:sz w:val="20"/>
                <w:szCs w:val="20"/>
              </w:rPr>
            </w:pPr>
            <w:r w:rsidRPr="00FC3BAD">
              <w:rPr>
                <w:rFonts w:cs="Arial"/>
                <w:sz w:val="20"/>
                <w:szCs w:val="20"/>
              </w:rPr>
              <w:t>Evidence that supports this approach</w:t>
            </w:r>
          </w:p>
        </w:tc>
        <w:tc>
          <w:tcPr>
            <w:tcW w:w="13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FC3BAD" w:rsidRDefault="009D71E8">
            <w:pPr>
              <w:pStyle w:val="TableHeader"/>
              <w:jc w:val="left"/>
              <w:rPr>
                <w:rFonts w:cs="Arial"/>
                <w:sz w:val="20"/>
                <w:szCs w:val="20"/>
              </w:rPr>
            </w:pPr>
            <w:r w:rsidRPr="00FC3BAD">
              <w:rPr>
                <w:rFonts w:cs="Arial"/>
                <w:sz w:val="20"/>
                <w:szCs w:val="20"/>
              </w:rPr>
              <w:t>Challenge number(s) addressed</w:t>
            </w:r>
          </w:p>
        </w:tc>
      </w:tr>
      <w:tr w:rsidR="00E66558" w:rsidRPr="004E3DE5" w14:paraId="2A7D5521" w14:textId="77777777" w:rsidTr="00A155D3">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96F70E5" w:rsidR="00E66558" w:rsidRPr="007B3375" w:rsidRDefault="007F6271" w:rsidP="00FC3BAD">
            <w:pPr>
              <w:pStyle w:val="NoSpacing"/>
              <w:rPr>
                <w:sz w:val="22"/>
                <w:szCs w:val="22"/>
              </w:rPr>
            </w:pPr>
            <w:r>
              <w:rPr>
                <w:sz w:val="22"/>
                <w:szCs w:val="22"/>
              </w:rPr>
              <w:t>WELLCOMM</w:t>
            </w:r>
            <w:r w:rsidR="00653012" w:rsidRPr="007B3375">
              <w:rPr>
                <w:sz w:val="22"/>
                <w:szCs w:val="22"/>
              </w:rPr>
              <w:t xml:space="preserve"> training</w:t>
            </w:r>
            <w:r w:rsidR="00785B10" w:rsidRPr="007B3375">
              <w:rPr>
                <w:sz w:val="22"/>
                <w:szCs w:val="22"/>
              </w:rPr>
              <w:t xml:space="preserve"> for REC TA and Class teacher </w:t>
            </w: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64A6F" w14:textId="77777777" w:rsidR="000B1405" w:rsidRDefault="000B1405" w:rsidP="000B1405">
            <w:pPr>
              <w:pStyle w:val="Default"/>
              <w:rPr>
                <w:sz w:val="20"/>
                <w:szCs w:val="20"/>
              </w:rPr>
            </w:pPr>
            <w:r>
              <w:rPr>
                <w:sz w:val="20"/>
                <w:szCs w:val="20"/>
              </w:rPr>
              <w:t xml:space="preserve">There is a strong evidence base that suggests oral language interventions, including dialogic activities such as high-quality classroom discussion, are </w:t>
            </w:r>
            <w:proofErr w:type="spellStart"/>
            <w:r>
              <w:rPr>
                <w:sz w:val="20"/>
                <w:szCs w:val="20"/>
              </w:rPr>
              <w:t>inex</w:t>
            </w:r>
            <w:proofErr w:type="spellEnd"/>
            <w:r>
              <w:rPr>
                <w:sz w:val="20"/>
                <w:szCs w:val="20"/>
              </w:rPr>
              <w:t xml:space="preserve">-pensive to implement with high impacts on reading and writing: </w:t>
            </w:r>
          </w:p>
          <w:p w14:paraId="0B5242D1" w14:textId="77777777" w:rsidR="000B1405" w:rsidRDefault="000B1405" w:rsidP="000B1405">
            <w:pPr>
              <w:pStyle w:val="Default"/>
              <w:rPr>
                <w:sz w:val="22"/>
                <w:szCs w:val="22"/>
              </w:rPr>
            </w:pPr>
            <w:r>
              <w:rPr>
                <w:sz w:val="22"/>
                <w:szCs w:val="22"/>
              </w:rPr>
              <w:t xml:space="preserve">Oral language interventions | Toolkit Strand | Education Endowment Foundation | EEF </w:t>
            </w:r>
          </w:p>
          <w:p w14:paraId="2A7D551F" w14:textId="561E60D7" w:rsidR="008F078E" w:rsidRPr="007B3375" w:rsidRDefault="008F078E" w:rsidP="00FC3BAD">
            <w:pPr>
              <w:pStyle w:val="NoSpacing"/>
              <w:rPr>
                <w:color w:val="333333"/>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C434F1B" w:rsidR="00E66558" w:rsidRPr="004E3DE5" w:rsidRDefault="00653012">
            <w:pPr>
              <w:pStyle w:val="TableRowCentered"/>
              <w:jc w:val="left"/>
              <w:rPr>
                <w:rFonts w:cs="Arial"/>
                <w:sz w:val="22"/>
              </w:rPr>
            </w:pPr>
            <w:r w:rsidRPr="004E3DE5">
              <w:rPr>
                <w:rFonts w:cs="Arial"/>
                <w:sz w:val="22"/>
              </w:rPr>
              <w:t>1</w:t>
            </w:r>
          </w:p>
        </w:tc>
      </w:tr>
      <w:tr w:rsidR="006F1363" w:rsidRPr="004E3DE5" w14:paraId="1145D2D1" w14:textId="77777777" w:rsidTr="00A155D3">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817A9" w14:textId="34532BC9" w:rsidR="006F1363" w:rsidRPr="007B3375" w:rsidRDefault="00020A2E" w:rsidP="006F1363">
            <w:pPr>
              <w:pStyle w:val="NoSpacing"/>
              <w:rPr>
                <w:rFonts w:ascii="Times New Roman" w:hAnsi="Times New Roman"/>
                <w:color w:val="auto"/>
                <w:sz w:val="22"/>
                <w:szCs w:val="22"/>
              </w:rPr>
            </w:pPr>
            <w:r>
              <w:rPr>
                <w:sz w:val="22"/>
                <w:szCs w:val="22"/>
              </w:rPr>
              <w:t xml:space="preserve">Little </w:t>
            </w:r>
            <w:proofErr w:type="spellStart"/>
            <w:r>
              <w:rPr>
                <w:sz w:val="22"/>
                <w:szCs w:val="22"/>
              </w:rPr>
              <w:t>W</w:t>
            </w:r>
            <w:r w:rsidR="00D236AD">
              <w:rPr>
                <w:sz w:val="22"/>
                <w:szCs w:val="22"/>
              </w:rPr>
              <w:t>a</w:t>
            </w:r>
            <w:r>
              <w:rPr>
                <w:sz w:val="22"/>
                <w:szCs w:val="22"/>
              </w:rPr>
              <w:t>ndle</w:t>
            </w:r>
            <w:proofErr w:type="spellEnd"/>
            <w:r w:rsidR="006F1363" w:rsidRPr="007B3375">
              <w:rPr>
                <w:sz w:val="22"/>
                <w:szCs w:val="22"/>
              </w:rPr>
              <w:t xml:space="preserve"> training for teaching assistants</w:t>
            </w:r>
            <w:r w:rsidR="00D236AD">
              <w:rPr>
                <w:sz w:val="22"/>
                <w:szCs w:val="22"/>
              </w:rPr>
              <w:t xml:space="preserve"> and teachers</w:t>
            </w:r>
            <w:r w:rsidR="006F1363" w:rsidRPr="007B3375">
              <w:rPr>
                <w:sz w:val="22"/>
                <w:szCs w:val="22"/>
              </w:rPr>
              <w:t>, leading to highly skilled delivery of synthetic phonics. TAs working alongside our pupils</w:t>
            </w:r>
            <w:r w:rsidR="006C4273" w:rsidRPr="007B3375">
              <w:rPr>
                <w:sz w:val="22"/>
                <w:szCs w:val="22"/>
              </w:rPr>
              <w:t xml:space="preserve"> in </w:t>
            </w:r>
            <w:r w:rsidR="006F1363" w:rsidRPr="007B3375">
              <w:rPr>
                <w:sz w:val="22"/>
                <w:szCs w:val="22"/>
              </w:rPr>
              <w:t xml:space="preserve">class and intervention groups will benefit from purposeful CPD. </w:t>
            </w:r>
            <w:r w:rsidR="006C4273" w:rsidRPr="007B3375">
              <w:rPr>
                <w:sz w:val="22"/>
                <w:szCs w:val="22"/>
              </w:rPr>
              <w:t>Phonics intervention will impact their writing.</w:t>
            </w:r>
          </w:p>
          <w:p w14:paraId="016588F4" w14:textId="576F599F" w:rsidR="006F1363" w:rsidRPr="007B3375" w:rsidRDefault="006F1363" w:rsidP="00FC3BAD">
            <w:pPr>
              <w:pStyle w:val="NoSpacing"/>
              <w:rPr>
                <w:sz w:val="22"/>
                <w:szCs w:val="22"/>
              </w:rPr>
            </w:pP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E9A2F" w14:textId="5A2143F6" w:rsidR="006F1363" w:rsidRPr="007B3375" w:rsidRDefault="006F1363" w:rsidP="006F1363">
            <w:pPr>
              <w:pStyle w:val="Default"/>
              <w:numPr>
                <w:ilvl w:val="0"/>
                <w:numId w:val="1"/>
              </w:numPr>
              <w:rPr>
                <w:rFonts w:ascii="Times New Roman" w:hAnsi="Times New Roman"/>
                <w:color w:val="auto"/>
                <w:sz w:val="22"/>
                <w:szCs w:val="22"/>
              </w:rPr>
            </w:pPr>
          </w:p>
          <w:p w14:paraId="08A83E9B" w14:textId="15327D7A" w:rsidR="00096306" w:rsidRDefault="004F42B2" w:rsidP="006F1363">
            <w:pPr>
              <w:pStyle w:val="NoSpacing"/>
              <w:rPr>
                <w:sz w:val="22"/>
                <w:szCs w:val="22"/>
              </w:rPr>
            </w:pPr>
            <w:hyperlink r:id="rId11" w:history="1">
              <w:r w:rsidR="00096306" w:rsidRPr="00761036">
                <w:rPr>
                  <w:rStyle w:val="Hyperlink"/>
                  <w:sz w:val="22"/>
                  <w:szCs w:val="22"/>
                </w:rPr>
                <w:t>https://www.littlewandlelettersandsounds.org.uk/about-us/</w:t>
              </w:r>
            </w:hyperlink>
          </w:p>
          <w:p w14:paraId="2F43B63C" w14:textId="1D20A6B5" w:rsidR="006F1363" w:rsidRPr="007B3375" w:rsidRDefault="006C4273" w:rsidP="006F1363">
            <w:pPr>
              <w:pStyle w:val="NoSpacing"/>
              <w:rPr>
                <w:bCs/>
                <w:color w:val="333333"/>
                <w:sz w:val="22"/>
                <w:szCs w:val="22"/>
              </w:rPr>
            </w:pPr>
            <w:r w:rsidRPr="007B3375">
              <w:rPr>
                <w:sz w:val="22"/>
                <w:szCs w:val="22"/>
              </w:rPr>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2E69C" w14:textId="7369209D" w:rsidR="006F1363" w:rsidRPr="004E3DE5" w:rsidRDefault="006C4273">
            <w:pPr>
              <w:pStyle w:val="TableRowCentered"/>
              <w:jc w:val="left"/>
              <w:rPr>
                <w:rFonts w:cs="Arial"/>
                <w:sz w:val="22"/>
              </w:rPr>
            </w:pPr>
            <w:r>
              <w:rPr>
                <w:rFonts w:cs="Arial"/>
                <w:sz w:val="22"/>
              </w:rPr>
              <w:t>2</w:t>
            </w:r>
          </w:p>
        </w:tc>
      </w:tr>
      <w:tr w:rsidR="00487E61" w:rsidRPr="004E3DE5" w14:paraId="4347F964" w14:textId="77777777" w:rsidTr="00A155D3">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800A" w14:textId="690E4B68" w:rsidR="00487E61" w:rsidRPr="007B3375" w:rsidRDefault="00487E61" w:rsidP="00FC3BAD">
            <w:pPr>
              <w:pStyle w:val="NoSpacing"/>
              <w:rPr>
                <w:sz w:val="22"/>
                <w:szCs w:val="22"/>
              </w:rPr>
            </w:pPr>
            <w:proofErr w:type="spellStart"/>
            <w:r w:rsidRPr="007B3375">
              <w:rPr>
                <w:sz w:val="22"/>
                <w:szCs w:val="22"/>
              </w:rPr>
              <w:t>PiXL</w:t>
            </w:r>
            <w:proofErr w:type="spellEnd"/>
            <w:r w:rsidR="00FC3BAD" w:rsidRPr="007B3375">
              <w:rPr>
                <w:sz w:val="22"/>
                <w:szCs w:val="22"/>
              </w:rPr>
              <w:t xml:space="preserve"> CPD for RSL</w:t>
            </w:r>
          </w:p>
          <w:p w14:paraId="646FB511" w14:textId="1470F39C" w:rsidR="00FC3BAD" w:rsidRPr="007B3375" w:rsidRDefault="00FC3BAD" w:rsidP="00FC3BAD">
            <w:pPr>
              <w:pStyle w:val="NoSpacing"/>
              <w:rPr>
                <w:sz w:val="22"/>
                <w:szCs w:val="22"/>
              </w:rPr>
            </w:pPr>
          </w:p>
          <w:p w14:paraId="4C3E5B5F" w14:textId="389BB3BA" w:rsidR="00FC3BAD" w:rsidRPr="007B3375" w:rsidRDefault="00FC3BAD" w:rsidP="00FC3BAD">
            <w:pPr>
              <w:pStyle w:val="NoSpacing"/>
              <w:rPr>
                <w:sz w:val="22"/>
                <w:szCs w:val="22"/>
              </w:rPr>
            </w:pPr>
            <w:r w:rsidRPr="007B3375">
              <w:rPr>
                <w:sz w:val="22"/>
                <w:szCs w:val="22"/>
              </w:rPr>
              <w:t xml:space="preserve">Regular </w:t>
            </w:r>
            <w:r w:rsidR="006C4273" w:rsidRPr="007B3375">
              <w:rPr>
                <w:sz w:val="22"/>
                <w:szCs w:val="22"/>
              </w:rPr>
              <w:t>meetings</w:t>
            </w:r>
            <w:r w:rsidRPr="007B3375">
              <w:rPr>
                <w:sz w:val="22"/>
                <w:szCs w:val="22"/>
              </w:rPr>
              <w:t xml:space="preserve"> with </w:t>
            </w:r>
            <w:proofErr w:type="spellStart"/>
            <w:r w:rsidRPr="007B3375">
              <w:rPr>
                <w:sz w:val="22"/>
                <w:szCs w:val="22"/>
              </w:rPr>
              <w:t>PiXL</w:t>
            </w:r>
            <w:proofErr w:type="spellEnd"/>
            <w:r w:rsidRPr="007B3375">
              <w:rPr>
                <w:sz w:val="22"/>
                <w:szCs w:val="22"/>
              </w:rPr>
              <w:t xml:space="preserve"> Consultant and attendance at </w:t>
            </w:r>
            <w:proofErr w:type="spellStart"/>
            <w:r w:rsidRPr="007B3375">
              <w:rPr>
                <w:sz w:val="22"/>
                <w:szCs w:val="22"/>
              </w:rPr>
              <w:t>PiXL</w:t>
            </w:r>
            <w:proofErr w:type="spellEnd"/>
            <w:r w:rsidRPr="007B3375">
              <w:rPr>
                <w:sz w:val="22"/>
                <w:szCs w:val="22"/>
              </w:rPr>
              <w:t xml:space="preserve"> conferences</w:t>
            </w:r>
          </w:p>
          <w:p w14:paraId="4725759D" w14:textId="77777777" w:rsidR="00FC3BAD" w:rsidRPr="007B3375" w:rsidRDefault="00FC3BAD" w:rsidP="00FC3BAD">
            <w:pPr>
              <w:pStyle w:val="NoSpacing"/>
              <w:rPr>
                <w:sz w:val="22"/>
                <w:szCs w:val="22"/>
              </w:rPr>
            </w:pPr>
          </w:p>
          <w:p w14:paraId="5DF0F305" w14:textId="0DF99D3D" w:rsidR="00FC3BAD" w:rsidRPr="007B3375" w:rsidRDefault="00FC3BAD" w:rsidP="00FC3BAD">
            <w:pPr>
              <w:pStyle w:val="NoSpacing"/>
              <w:rPr>
                <w:sz w:val="22"/>
                <w:szCs w:val="22"/>
              </w:rPr>
            </w:pPr>
            <w:r w:rsidRPr="007B3375">
              <w:rPr>
                <w:sz w:val="22"/>
                <w:szCs w:val="22"/>
              </w:rPr>
              <w:t xml:space="preserve">Support from the MAT Director for Standards in analysing trends for PP pupils, ensuring best use of the vast array of resources on offer by </w:t>
            </w:r>
            <w:proofErr w:type="spellStart"/>
            <w:r w:rsidRPr="007B3375">
              <w:rPr>
                <w:sz w:val="22"/>
                <w:szCs w:val="22"/>
              </w:rPr>
              <w:t>PiXL</w:t>
            </w:r>
            <w:proofErr w:type="spellEnd"/>
            <w:r w:rsidRPr="007B3375">
              <w:rPr>
                <w:sz w:val="22"/>
                <w:szCs w:val="22"/>
              </w:rPr>
              <w:t xml:space="preserve"> </w:t>
            </w:r>
            <w:r w:rsidR="00A155D3" w:rsidRPr="007B3375">
              <w:rPr>
                <w:sz w:val="22"/>
                <w:szCs w:val="22"/>
              </w:rPr>
              <w:t>in order to narrow the</w:t>
            </w:r>
            <w:r w:rsidRPr="007B3375">
              <w:rPr>
                <w:sz w:val="22"/>
                <w:szCs w:val="22"/>
              </w:rPr>
              <w:t xml:space="preserve"> gap.  </w:t>
            </w:r>
          </w:p>
          <w:p w14:paraId="69AC98CF" w14:textId="77777777" w:rsidR="00FC3BAD" w:rsidRPr="007B3375" w:rsidRDefault="00FC3BAD" w:rsidP="00FC3BAD">
            <w:pPr>
              <w:pStyle w:val="NoSpacing"/>
              <w:rPr>
                <w:sz w:val="22"/>
                <w:szCs w:val="22"/>
              </w:rPr>
            </w:pPr>
          </w:p>
          <w:p w14:paraId="3FD06FEF" w14:textId="02CF62CF" w:rsidR="00FC3BAD" w:rsidRPr="007B3375" w:rsidRDefault="00FC3BAD" w:rsidP="00FC3BAD">
            <w:pPr>
              <w:pStyle w:val="NoSpacing"/>
              <w:rPr>
                <w:sz w:val="22"/>
                <w:szCs w:val="22"/>
              </w:rPr>
            </w:pP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03623" w14:textId="6309659B" w:rsidR="00487E61" w:rsidRPr="007B3375" w:rsidRDefault="00C25AFF" w:rsidP="00FC3BAD">
            <w:pPr>
              <w:pStyle w:val="NoSpacing"/>
              <w:rPr>
                <w:bCs/>
                <w:color w:val="333333"/>
                <w:sz w:val="22"/>
                <w:szCs w:val="22"/>
              </w:rPr>
            </w:pPr>
            <w:r w:rsidRPr="007B3375">
              <w:rPr>
                <w:bCs/>
                <w:color w:val="333333"/>
                <w:sz w:val="22"/>
                <w:szCs w:val="22"/>
              </w:rPr>
              <w:t xml:space="preserve">The challenge has been pinpointing the correct </w:t>
            </w:r>
            <w:proofErr w:type="spellStart"/>
            <w:r w:rsidR="00FC3BAD" w:rsidRPr="007B3375">
              <w:rPr>
                <w:bCs/>
                <w:color w:val="333333"/>
                <w:sz w:val="22"/>
                <w:szCs w:val="22"/>
              </w:rPr>
              <w:t>PiXL</w:t>
            </w:r>
            <w:proofErr w:type="spellEnd"/>
            <w:r w:rsidR="00FC3BAD" w:rsidRPr="007B3375">
              <w:rPr>
                <w:bCs/>
                <w:color w:val="333333"/>
                <w:sz w:val="22"/>
                <w:szCs w:val="22"/>
              </w:rPr>
              <w:t xml:space="preserve"> </w:t>
            </w:r>
            <w:r w:rsidRPr="007B3375">
              <w:rPr>
                <w:bCs/>
                <w:color w:val="333333"/>
                <w:sz w:val="22"/>
                <w:szCs w:val="22"/>
              </w:rPr>
              <w:t xml:space="preserve">therapy from the </w:t>
            </w:r>
            <w:r w:rsidR="00FC3BAD" w:rsidRPr="007B3375">
              <w:rPr>
                <w:bCs/>
                <w:color w:val="333333"/>
                <w:sz w:val="22"/>
                <w:szCs w:val="22"/>
              </w:rPr>
              <w:t>wealth of resources that will support TA</w:t>
            </w:r>
            <w:r w:rsidR="00FB2766">
              <w:rPr>
                <w:bCs/>
                <w:color w:val="333333"/>
                <w:sz w:val="22"/>
                <w:szCs w:val="22"/>
              </w:rPr>
              <w:t>s</w:t>
            </w:r>
            <w:r w:rsidR="00FC3BAD" w:rsidRPr="007B3375">
              <w:rPr>
                <w:bCs/>
                <w:color w:val="333333"/>
                <w:sz w:val="22"/>
                <w:szCs w:val="22"/>
              </w:rPr>
              <w:t xml:space="preserve"> and CTs in their delivery. </w:t>
            </w:r>
            <w:r w:rsidRPr="007B3375">
              <w:rPr>
                <w:bCs/>
                <w:color w:val="333333"/>
                <w:sz w:val="22"/>
                <w:szCs w:val="22"/>
              </w:rPr>
              <w:t>The RSL will be able to provide CPD on appropriate therapies</w:t>
            </w:r>
            <w:r w:rsidR="00DD21AC">
              <w:rPr>
                <w:bCs/>
                <w:color w:val="333333"/>
                <w:sz w:val="22"/>
                <w:szCs w:val="22"/>
              </w:rPr>
              <w:t xml:space="preserve"> and diagnostic tools within </w:t>
            </w:r>
            <w:proofErr w:type="spellStart"/>
            <w:r w:rsidR="00DD21AC">
              <w:rPr>
                <w:bCs/>
                <w:color w:val="333333"/>
                <w:sz w:val="22"/>
                <w:szCs w:val="22"/>
              </w:rPr>
              <w:t>PiXL</w:t>
            </w:r>
            <w:proofErr w:type="spellEnd"/>
            <w:r w:rsidR="00DD21AC">
              <w:rPr>
                <w:bCs/>
                <w:color w:val="333333"/>
                <w:sz w:val="22"/>
                <w:szCs w:val="22"/>
              </w:rPr>
              <w:t>.</w:t>
            </w:r>
            <w:r w:rsidRPr="007B3375">
              <w:rPr>
                <w:bCs/>
                <w:color w:val="333333"/>
                <w:sz w:val="22"/>
                <w:szCs w:val="22"/>
              </w:rPr>
              <w:t xml:space="preserve"> </w:t>
            </w:r>
          </w:p>
          <w:p w14:paraId="5834E279" w14:textId="77777777" w:rsidR="00FC3BAD" w:rsidRPr="007B3375" w:rsidRDefault="00FC3BAD" w:rsidP="00FC3BAD">
            <w:pPr>
              <w:pStyle w:val="NoSpacing"/>
              <w:rPr>
                <w:bCs/>
                <w:color w:val="333333"/>
                <w:sz w:val="22"/>
                <w:szCs w:val="22"/>
              </w:rPr>
            </w:pPr>
          </w:p>
          <w:p w14:paraId="3A62F14D" w14:textId="7128013E" w:rsidR="00FC3BAD" w:rsidRPr="007B3375" w:rsidRDefault="00FC3BAD" w:rsidP="00FC3BAD">
            <w:pPr>
              <w:pStyle w:val="NoSpacing"/>
              <w:rPr>
                <w:bCs/>
                <w:color w:val="333333"/>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FE9C6" w14:textId="30F8C8CB" w:rsidR="00487E61" w:rsidRPr="004E3DE5" w:rsidRDefault="006C4273">
            <w:pPr>
              <w:pStyle w:val="TableRowCentered"/>
              <w:jc w:val="left"/>
              <w:rPr>
                <w:rFonts w:cs="Arial"/>
                <w:sz w:val="22"/>
              </w:rPr>
            </w:pPr>
            <w:r>
              <w:rPr>
                <w:rFonts w:cs="Arial"/>
                <w:sz w:val="22"/>
              </w:rPr>
              <w:t>3</w:t>
            </w:r>
          </w:p>
        </w:tc>
      </w:tr>
      <w:tr w:rsidR="001F1C85" w:rsidRPr="004E3DE5" w14:paraId="5AA8F5B1" w14:textId="77777777" w:rsidTr="00A155D3">
        <w:tc>
          <w:tcPr>
            <w:tcW w:w="2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E10B8" w14:textId="0AD41643" w:rsidR="001F1C85" w:rsidRPr="007B3375" w:rsidRDefault="00906D67" w:rsidP="00FC3BAD">
            <w:pPr>
              <w:pStyle w:val="NoSpacing"/>
              <w:rPr>
                <w:sz w:val="22"/>
                <w:szCs w:val="22"/>
              </w:rPr>
            </w:pPr>
            <w:r>
              <w:rPr>
                <w:sz w:val="22"/>
                <w:szCs w:val="22"/>
              </w:rPr>
              <w:t xml:space="preserve">CPD to improve progression across the curriculum through a greater understanding of starting points and </w:t>
            </w:r>
            <w:r w:rsidR="008D5F98">
              <w:rPr>
                <w:sz w:val="22"/>
                <w:szCs w:val="22"/>
              </w:rPr>
              <w:t xml:space="preserve">expected outcomes- SLE deployment </w:t>
            </w: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41606" w14:textId="6B0DDFEF" w:rsidR="001F1C85" w:rsidRPr="007B3375" w:rsidRDefault="008D5F98" w:rsidP="00FC3BAD">
            <w:pPr>
              <w:pStyle w:val="NoSpacing"/>
              <w:rPr>
                <w:bCs/>
                <w:color w:val="333333"/>
                <w:sz w:val="22"/>
                <w:szCs w:val="22"/>
              </w:rPr>
            </w:pPr>
            <w:r>
              <w:rPr>
                <w:bCs/>
                <w:color w:val="333333"/>
                <w:sz w:val="22"/>
                <w:szCs w:val="22"/>
              </w:rPr>
              <w:t>Ofsted research paper</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D99FB" w14:textId="0E54B649" w:rsidR="001F1C85" w:rsidRDefault="008D5F98">
            <w:pPr>
              <w:pStyle w:val="TableRowCentered"/>
              <w:jc w:val="left"/>
              <w:rPr>
                <w:rFonts w:cs="Arial"/>
                <w:sz w:val="22"/>
              </w:rPr>
            </w:pPr>
            <w:r>
              <w:rPr>
                <w:rFonts w:cs="Arial"/>
                <w:sz w:val="22"/>
              </w:rPr>
              <w:t>2</w:t>
            </w:r>
          </w:p>
        </w:tc>
      </w:tr>
    </w:tbl>
    <w:p w14:paraId="2A7D5523" w14:textId="5E4012E3" w:rsidR="00E66558" w:rsidRPr="004E3DE5" w:rsidRDefault="009D71E8">
      <w:pPr>
        <w:rPr>
          <w:rFonts w:cs="Arial"/>
          <w:b/>
          <w:bCs/>
          <w:color w:val="104F75"/>
          <w:sz w:val="28"/>
          <w:szCs w:val="28"/>
        </w:rPr>
      </w:pPr>
      <w:r w:rsidRPr="004E3DE5">
        <w:rPr>
          <w:rFonts w:cs="Arial"/>
          <w:b/>
          <w:bCs/>
          <w:color w:val="104F75"/>
          <w:sz w:val="28"/>
          <w:szCs w:val="28"/>
        </w:rPr>
        <w:t xml:space="preserve">Targeted academic support </w:t>
      </w:r>
    </w:p>
    <w:p w14:paraId="2A7D5524" w14:textId="6276126F" w:rsidR="00E66558" w:rsidRPr="004E3DE5" w:rsidRDefault="009D71E8">
      <w:pPr>
        <w:rPr>
          <w:rFonts w:cs="Arial"/>
        </w:rPr>
      </w:pPr>
      <w:r w:rsidRPr="004E3DE5">
        <w:rPr>
          <w:rFonts w:cs="Arial"/>
        </w:rPr>
        <w:t xml:space="preserve">Budgeted </w:t>
      </w:r>
      <w:r w:rsidRPr="008E1AA8">
        <w:rPr>
          <w:rFonts w:cs="Arial"/>
        </w:rPr>
        <w:t xml:space="preserve">cost: </w:t>
      </w:r>
      <w:r w:rsidR="008E1AA8" w:rsidRPr="008E1AA8">
        <w:rPr>
          <w:rFonts w:cs="Arial"/>
        </w:rPr>
        <w:t>£</w:t>
      </w:r>
      <w:r w:rsidR="00FD7A70">
        <w:rPr>
          <w:rFonts w:cs="Arial"/>
        </w:rPr>
        <w:t>22 000</w:t>
      </w:r>
    </w:p>
    <w:tbl>
      <w:tblPr>
        <w:tblW w:w="5529" w:type="pct"/>
        <w:tblInd w:w="-289" w:type="dxa"/>
        <w:tblCellMar>
          <w:left w:w="10" w:type="dxa"/>
          <w:right w:w="10" w:type="dxa"/>
        </w:tblCellMar>
        <w:tblLook w:val="04A0" w:firstRow="1" w:lastRow="0" w:firstColumn="1" w:lastColumn="0" w:noHBand="0" w:noVBand="1"/>
      </w:tblPr>
      <w:tblGrid>
        <w:gridCol w:w="2683"/>
        <w:gridCol w:w="6390"/>
        <w:gridCol w:w="1417"/>
      </w:tblGrid>
      <w:tr w:rsidR="00E66558" w:rsidRPr="004E3DE5" w14:paraId="2A7D5528" w14:textId="77777777" w:rsidTr="007B3375">
        <w:tc>
          <w:tcPr>
            <w:tcW w:w="268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7B3375" w:rsidRDefault="009D71E8">
            <w:pPr>
              <w:pStyle w:val="TableHeader"/>
              <w:jc w:val="left"/>
              <w:rPr>
                <w:rFonts w:cs="Arial"/>
                <w:sz w:val="20"/>
                <w:szCs w:val="20"/>
              </w:rPr>
            </w:pPr>
            <w:r w:rsidRPr="007B3375">
              <w:rPr>
                <w:rFonts w:cs="Arial"/>
                <w:sz w:val="20"/>
                <w:szCs w:val="20"/>
              </w:rPr>
              <w:t>Activity</w:t>
            </w:r>
          </w:p>
        </w:tc>
        <w:tc>
          <w:tcPr>
            <w:tcW w:w="63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7B3375" w:rsidRDefault="009D71E8">
            <w:pPr>
              <w:pStyle w:val="TableHeader"/>
              <w:jc w:val="left"/>
              <w:rPr>
                <w:rFonts w:cs="Arial"/>
                <w:sz w:val="20"/>
                <w:szCs w:val="20"/>
              </w:rPr>
            </w:pPr>
            <w:r w:rsidRPr="007B3375">
              <w:rPr>
                <w:rFonts w:cs="Arial"/>
                <w:sz w:val="20"/>
                <w:szCs w:val="20"/>
              </w:rPr>
              <w:t>Evidence that supports this approach</w:t>
            </w:r>
          </w:p>
        </w:tc>
        <w:tc>
          <w:tcPr>
            <w:tcW w:w="14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7B3375" w:rsidRDefault="009D71E8">
            <w:pPr>
              <w:pStyle w:val="TableHeader"/>
              <w:jc w:val="left"/>
              <w:rPr>
                <w:rFonts w:cs="Arial"/>
                <w:sz w:val="20"/>
                <w:szCs w:val="20"/>
              </w:rPr>
            </w:pPr>
            <w:r w:rsidRPr="007B3375">
              <w:rPr>
                <w:rFonts w:cs="Arial"/>
                <w:sz w:val="20"/>
                <w:szCs w:val="20"/>
              </w:rPr>
              <w:t>Challenge number(s) addressed</w:t>
            </w:r>
          </w:p>
        </w:tc>
      </w:tr>
      <w:tr w:rsidR="00110D7F" w:rsidRPr="004E3DE5" w14:paraId="2A7D552C" w14:textId="77777777" w:rsidTr="007B3375">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5FF96" w14:textId="77777777" w:rsidR="00645541" w:rsidRPr="00DF0AFB" w:rsidRDefault="008D5F98" w:rsidP="00110D7F">
            <w:pPr>
              <w:pStyle w:val="TableRow"/>
              <w:rPr>
                <w:rFonts w:cs="Arial"/>
                <w:sz w:val="22"/>
                <w:szCs w:val="22"/>
              </w:rPr>
            </w:pPr>
            <w:r w:rsidRPr="00DF0AFB">
              <w:rPr>
                <w:rFonts w:cs="Arial"/>
                <w:sz w:val="22"/>
                <w:szCs w:val="22"/>
              </w:rPr>
              <w:t xml:space="preserve">Embedding </w:t>
            </w:r>
            <w:r w:rsidR="00645541" w:rsidRPr="00DF0AFB">
              <w:rPr>
                <w:rFonts w:cs="Arial"/>
                <w:sz w:val="22"/>
                <w:szCs w:val="22"/>
              </w:rPr>
              <w:t xml:space="preserve">the use of manipulatives within mathematics for all year groups in line with the school’s Calculation Policy. </w:t>
            </w:r>
          </w:p>
          <w:p w14:paraId="5C8B1BCD" w14:textId="77777777" w:rsidR="00645541" w:rsidRPr="00DF0AFB" w:rsidRDefault="00645541" w:rsidP="00110D7F">
            <w:pPr>
              <w:pStyle w:val="TableRow"/>
              <w:rPr>
                <w:rFonts w:cs="Arial"/>
                <w:sz w:val="22"/>
                <w:szCs w:val="22"/>
              </w:rPr>
            </w:pPr>
          </w:p>
          <w:p w14:paraId="7101404E" w14:textId="08466F09" w:rsidR="00006201" w:rsidRPr="00DF0AFB" w:rsidRDefault="00DF0AFB" w:rsidP="00110D7F">
            <w:pPr>
              <w:pStyle w:val="TableRow"/>
              <w:rPr>
                <w:rFonts w:cs="Arial"/>
                <w:sz w:val="22"/>
                <w:szCs w:val="22"/>
              </w:rPr>
            </w:pPr>
            <w:r w:rsidRPr="00DF0AFB">
              <w:rPr>
                <w:rFonts w:cs="Arial"/>
                <w:sz w:val="22"/>
                <w:szCs w:val="22"/>
              </w:rPr>
              <w:t>6-part</w:t>
            </w:r>
            <w:r w:rsidR="00645541" w:rsidRPr="00DF0AFB">
              <w:rPr>
                <w:rFonts w:cs="Arial"/>
                <w:sz w:val="22"/>
                <w:szCs w:val="22"/>
              </w:rPr>
              <w:t xml:space="preserve"> lesson will be </w:t>
            </w:r>
            <w:r w:rsidR="00006201" w:rsidRPr="00DF0AFB">
              <w:rPr>
                <w:rFonts w:cs="Arial"/>
                <w:sz w:val="22"/>
                <w:szCs w:val="22"/>
              </w:rPr>
              <w:t>introduced for each year group led by an experienced SLE</w:t>
            </w:r>
          </w:p>
          <w:p w14:paraId="63D26295" w14:textId="191CDE73" w:rsidR="00006201" w:rsidRDefault="00006201" w:rsidP="00110D7F">
            <w:pPr>
              <w:pStyle w:val="TableRow"/>
              <w:rPr>
                <w:rFonts w:cs="Arial"/>
                <w:sz w:val="22"/>
                <w:szCs w:val="22"/>
                <w:highlight w:val="yellow"/>
              </w:rPr>
            </w:pPr>
          </w:p>
          <w:p w14:paraId="038E9FF9" w14:textId="77777777" w:rsidR="00006201" w:rsidRDefault="00006201" w:rsidP="00110D7F">
            <w:pPr>
              <w:pStyle w:val="TableRow"/>
              <w:rPr>
                <w:rFonts w:cs="Arial"/>
                <w:sz w:val="22"/>
                <w:szCs w:val="22"/>
                <w:highlight w:val="yellow"/>
              </w:rPr>
            </w:pPr>
          </w:p>
          <w:p w14:paraId="2A7D5529" w14:textId="6F537D77" w:rsidR="00110D7F" w:rsidRPr="004F144E" w:rsidRDefault="00785B10" w:rsidP="00110D7F">
            <w:pPr>
              <w:pStyle w:val="TableRow"/>
              <w:rPr>
                <w:rFonts w:cs="Arial"/>
                <w:sz w:val="22"/>
                <w:szCs w:val="22"/>
                <w:highlight w:val="yellow"/>
              </w:rPr>
            </w:pPr>
            <w:r w:rsidRPr="004F144E">
              <w:rPr>
                <w:rFonts w:cs="Arial"/>
                <w:sz w:val="22"/>
                <w:szCs w:val="22"/>
                <w:highlight w:val="yellow"/>
              </w:rPr>
              <w:t xml:space="preserve"> </w:t>
            </w: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4A5CA" w14:textId="5F3449F4" w:rsidR="00487E61" w:rsidRDefault="004F42B2" w:rsidP="00006201">
            <w:pPr>
              <w:shd w:val="clear" w:color="auto" w:fill="FFFFFF"/>
              <w:suppressAutoHyphens w:val="0"/>
              <w:autoSpaceDN/>
              <w:spacing w:after="0" w:line="240" w:lineRule="auto"/>
              <w:rPr>
                <w:rFonts w:cs="Arial"/>
                <w:sz w:val="22"/>
                <w:szCs w:val="22"/>
              </w:rPr>
            </w:pPr>
            <w:hyperlink r:id="rId12" w:history="1">
              <w:r w:rsidR="00DF0AFB" w:rsidRPr="00761036">
                <w:rPr>
                  <w:rStyle w:val="Hyperlink"/>
                  <w:rFonts w:cs="Arial"/>
                  <w:sz w:val="22"/>
                  <w:szCs w:val="22"/>
                </w:rPr>
                <w:t>https://www.ncetm.org.uk/teaching-for-mastery/mastery-explained/supporting-research-evidence-and-argument/</w:t>
              </w:r>
            </w:hyperlink>
          </w:p>
          <w:p w14:paraId="2A7D552A" w14:textId="7C7ED956" w:rsidR="00DF0AFB" w:rsidRPr="004F144E" w:rsidRDefault="00DF0AFB" w:rsidP="00006201">
            <w:pPr>
              <w:shd w:val="clear" w:color="auto" w:fill="FFFFFF"/>
              <w:suppressAutoHyphens w:val="0"/>
              <w:autoSpaceDN/>
              <w:spacing w:after="0" w:line="240" w:lineRule="auto"/>
              <w:rPr>
                <w:rFonts w:cs="Arial"/>
                <w:sz w:val="22"/>
                <w:szCs w:val="22"/>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3842F55" w:rsidR="00110D7F" w:rsidRPr="004E3DE5" w:rsidRDefault="002F5A86" w:rsidP="00110D7F">
            <w:pPr>
              <w:pStyle w:val="TableRowCentered"/>
              <w:jc w:val="left"/>
              <w:rPr>
                <w:rFonts w:cs="Arial"/>
                <w:sz w:val="22"/>
              </w:rPr>
            </w:pPr>
            <w:r w:rsidRPr="004E3DE5">
              <w:rPr>
                <w:rFonts w:cs="Arial"/>
                <w:sz w:val="22"/>
              </w:rPr>
              <w:t>2</w:t>
            </w:r>
          </w:p>
        </w:tc>
      </w:tr>
      <w:tr w:rsidR="00110D7F" w14:paraId="2A7D5530" w14:textId="77777777" w:rsidTr="007B3375">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08CD1FC" w:rsidR="00110D7F" w:rsidRPr="007B3375" w:rsidRDefault="00110D7F" w:rsidP="00110D7F">
            <w:pPr>
              <w:pStyle w:val="TableRow"/>
              <w:rPr>
                <w:i/>
                <w:sz w:val="22"/>
                <w:szCs w:val="22"/>
              </w:rPr>
            </w:pPr>
            <w:proofErr w:type="spellStart"/>
            <w:r w:rsidRPr="007B3375">
              <w:rPr>
                <w:sz w:val="22"/>
                <w:szCs w:val="22"/>
              </w:rPr>
              <w:t>PiXL</w:t>
            </w:r>
            <w:proofErr w:type="spellEnd"/>
            <w:r w:rsidRPr="007B3375">
              <w:rPr>
                <w:sz w:val="22"/>
                <w:szCs w:val="22"/>
              </w:rPr>
              <w:t xml:space="preserve"> therapies</w:t>
            </w:r>
            <w:r w:rsidR="008C054A" w:rsidRPr="007B3375">
              <w:rPr>
                <w:sz w:val="22"/>
                <w:szCs w:val="22"/>
              </w:rPr>
              <w:t xml:space="preserve">- all staff have access to therapies, including pre and post teaching. </w:t>
            </w:r>
            <w:r w:rsidR="006F1363" w:rsidRPr="007B3375">
              <w:rPr>
                <w:sz w:val="22"/>
                <w:szCs w:val="22"/>
              </w:rPr>
              <w:t xml:space="preserve">They will be delivered on a 1:1 basis or small groups. Therapies will focus on reading, writing and maths. </w:t>
            </w: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6EBEC" w14:textId="77777777" w:rsidR="008C054A" w:rsidRPr="007B3375" w:rsidRDefault="008C054A" w:rsidP="004E3DE5">
            <w:pPr>
              <w:pStyle w:val="TableRowCentered"/>
              <w:jc w:val="left"/>
              <w:rPr>
                <w:sz w:val="22"/>
                <w:szCs w:val="22"/>
              </w:rPr>
            </w:pPr>
            <w:r w:rsidRPr="007B3375">
              <w:rPr>
                <w:sz w:val="22"/>
                <w:szCs w:val="22"/>
              </w:rPr>
              <w:t xml:space="preserve">External support from </w:t>
            </w:r>
            <w:proofErr w:type="spellStart"/>
            <w:r w:rsidRPr="007B3375">
              <w:rPr>
                <w:sz w:val="22"/>
                <w:szCs w:val="22"/>
              </w:rPr>
              <w:t>PiXL</w:t>
            </w:r>
            <w:proofErr w:type="spellEnd"/>
            <w:r w:rsidRPr="007B3375">
              <w:rPr>
                <w:sz w:val="22"/>
                <w:szCs w:val="22"/>
              </w:rPr>
              <w:t xml:space="preserve"> Associate is designed to challenge leaders in their selection and use of </w:t>
            </w:r>
            <w:proofErr w:type="spellStart"/>
            <w:r w:rsidRPr="007B3375">
              <w:rPr>
                <w:sz w:val="22"/>
                <w:szCs w:val="22"/>
              </w:rPr>
              <w:t>PiXL</w:t>
            </w:r>
            <w:proofErr w:type="spellEnd"/>
            <w:r w:rsidRPr="007B3375">
              <w:rPr>
                <w:sz w:val="22"/>
                <w:szCs w:val="22"/>
              </w:rPr>
              <w:t xml:space="preserve"> therapies. Focus is on the Widely Important goal, reassessing the children’s performance and next steps throughout the year to ensure they meet age related expectations. The focus in on ‘find the gap, plug the gap’.</w:t>
            </w:r>
          </w:p>
          <w:p w14:paraId="3DDD17DA" w14:textId="692A5799" w:rsidR="006F1363" w:rsidRPr="007B3375" w:rsidRDefault="006F1363" w:rsidP="004E3DE5">
            <w:pPr>
              <w:pStyle w:val="TableRowCentered"/>
              <w:jc w:val="left"/>
              <w:rPr>
                <w:sz w:val="22"/>
                <w:szCs w:val="22"/>
              </w:rPr>
            </w:pPr>
          </w:p>
          <w:p w14:paraId="2A7D552E" w14:textId="35D3639B" w:rsidR="006F1363" w:rsidRPr="007B3375" w:rsidRDefault="006F1363" w:rsidP="006F1363">
            <w:pPr>
              <w:pStyle w:val="TableRowCentered"/>
              <w:jc w:val="left"/>
              <w:rPr>
                <w:sz w:val="22"/>
                <w:szCs w:val="22"/>
              </w:rPr>
            </w:pPr>
            <w:r w:rsidRPr="007B3375">
              <w:rPr>
                <w:sz w:val="22"/>
                <w:szCs w:val="22"/>
              </w:rPr>
              <w:t xml:space="preserve">Previous evidence within the school shows that </w:t>
            </w:r>
            <w:proofErr w:type="spellStart"/>
            <w:r w:rsidRPr="007B3375">
              <w:rPr>
                <w:sz w:val="22"/>
                <w:szCs w:val="22"/>
              </w:rPr>
              <w:t>PiXL</w:t>
            </w:r>
            <w:proofErr w:type="spellEnd"/>
            <w:r w:rsidRPr="007B3375">
              <w:rPr>
                <w:sz w:val="22"/>
                <w:szCs w:val="22"/>
              </w:rPr>
              <w:t xml:space="preserve"> therapies have had a positive impact on pupils’ ability to answer SATs papers, leading to improvement in attainment.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3AF15DDE" w:rsidR="00110D7F" w:rsidRDefault="002F5A86" w:rsidP="00110D7F">
            <w:pPr>
              <w:pStyle w:val="TableRowCentered"/>
              <w:jc w:val="left"/>
              <w:rPr>
                <w:sz w:val="22"/>
              </w:rPr>
            </w:pPr>
            <w:r>
              <w:rPr>
                <w:sz w:val="22"/>
              </w:rPr>
              <w:t>2</w:t>
            </w:r>
            <w:r w:rsidR="006C4273">
              <w:rPr>
                <w:sz w:val="22"/>
              </w:rPr>
              <w:t xml:space="preserve"> 3</w:t>
            </w:r>
          </w:p>
        </w:tc>
      </w:tr>
      <w:tr w:rsidR="00110D7F" w14:paraId="4C7AAD21" w14:textId="77777777" w:rsidTr="007B3375">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7489" w14:textId="32CE24C1" w:rsidR="00110D7F" w:rsidRPr="007B3375" w:rsidRDefault="00110D7F" w:rsidP="00110D7F">
            <w:pPr>
              <w:pStyle w:val="TableRow"/>
              <w:rPr>
                <w:i/>
                <w:sz w:val="22"/>
                <w:szCs w:val="22"/>
              </w:rPr>
            </w:pPr>
            <w:r w:rsidRPr="007B3375">
              <w:rPr>
                <w:sz w:val="22"/>
                <w:szCs w:val="22"/>
              </w:rPr>
              <w:t xml:space="preserve">Maths intervention to target </w:t>
            </w:r>
            <w:r w:rsidR="00E654B1" w:rsidRPr="007B3375">
              <w:rPr>
                <w:sz w:val="22"/>
                <w:szCs w:val="22"/>
              </w:rPr>
              <w:t xml:space="preserve">specific children </w:t>
            </w:r>
            <w:r w:rsidR="006F3FEF" w:rsidRPr="007B3375">
              <w:rPr>
                <w:sz w:val="22"/>
                <w:szCs w:val="22"/>
              </w:rPr>
              <w:t xml:space="preserve">– </w:t>
            </w:r>
            <w:proofErr w:type="spellStart"/>
            <w:r w:rsidR="007C4464">
              <w:rPr>
                <w:sz w:val="22"/>
                <w:szCs w:val="22"/>
              </w:rPr>
              <w:t>PiXL</w:t>
            </w:r>
            <w:proofErr w:type="spellEnd"/>
            <w:r w:rsidR="007C4464">
              <w:rPr>
                <w:sz w:val="22"/>
                <w:szCs w:val="22"/>
              </w:rPr>
              <w:t xml:space="preserve"> Therapies, </w:t>
            </w:r>
            <w:r w:rsidR="006F3FEF" w:rsidRPr="007B3375">
              <w:rPr>
                <w:sz w:val="22"/>
                <w:szCs w:val="22"/>
              </w:rPr>
              <w:t>Power of 1 and Power of 2</w:t>
            </w:r>
            <w:r w:rsidR="00A155D3" w:rsidRPr="007B3375">
              <w:rPr>
                <w:sz w:val="22"/>
                <w:szCs w:val="22"/>
              </w:rPr>
              <w:t>, focusing on the basic four basic calculations</w:t>
            </w: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58EAC" w14:textId="3E71E780" w:rsidR="00110D7F" w:rsidRPr="007B3375" w:rsidRDefault="004E3DE5" w:rsidP="00110D7F">
            <w:pPr>
              <w:pStyle w:val="TableRowCentered"/>
              <w:jc w:val="left"/>
              <w:rPr>
                <w:rFonts w:cs="Arial"/>
                <w:sz w:val="22"/>
                <w:szCs w:val="22"/>
              </w:rPr>
            </w:pPr>
            <w:r w:rsidRPr="007B3375">
              <w:rPr>
                <w:rFonts w:cs="Arial"/>
                <w:color w:val="000000"/>
                <w:sz w:val="22"/>
                <w:szCs w:val="22"/>
              </w:rPr>
              <w:t>Nottingham Trent University’s analysis of the Key Stage 2 maths performance of 1071 schools in England that have used the Plus 1 and Power of 2 programme with more than 5 children. The research compared attainment measures with those of all other primary schools. The results suggest that those schools using Power of 2 show higher levels of maths attainment than those which do not.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53B2" w14:textId="2CA838CE" w:rsidR="00110D7F" w:rsidRDefault="00110D7F" w:rsidP="00110D7F">
            <w:pPr>
              <w:pStyle w:val="TableRowCentered"/>
              <w:jc w:val="left"/>
              <w:rPr>
                <w:sz w:val="22"/>
              </w:rPr>
            </w:pPr>
            <w:r>
              <w:rPr>
                <w:sz w:val="22"/>
              </w:rPr>
              <w:t>2</w:t>
            </w:r>
            <w:r w:rsidR="006C4273">
              <w:rPr>
                <w:sz w:val="22"/>
              </w:rPr>
              <w:t xml:space="preserve"> 3</w:t>
            </w:r>
          </w:p>
        </w:tc>
      </w:tr>
      <w:tr w:rsidR="00785B10" w14:paraId="4A75C27E" w14:textId="77777777" w:rsidTr="007B3375">
        <w:tc>
          <w:tcPr>
            <w:tcW w:w="2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36D05" w14:textId="13E6DF35" w:rsidR="00785B10" w:rsidRPr="007B3375" w:rsidRDefault="006C4273" w:rsidP="006F1363">
            <w:pPr>
              <w:pStyle w:val="Default"/>
              <w:numPr>
                <w:ilvl w:val="0"/>
                <w:numId w:val="1"/>
              </w:numPr>
              <w:rPr>
                <w:sz w:val="22"/>
                <w:szCs w:val="22"/>
              </w:rPr>
            </w:pPr>
            <w:r w:rsidRPr="007B3375">
              <w:rPr>
                <w:sz w:val="22"/>
                <w:szCs w:val="22"/>
              </w:rPr>
              <w:t>Delivery of target</w:t>
            </w:r>
            <w:r w:rsidR="007B3375" w:rsidRPr="007B3375">
              <w:rPr>
                <w:sz w:val="22"/>
                <w:szCs w:val="22"/>
              </w:rPr>
              <w:t xml:space="preserve">ed </w:t>
            </w:r>
            <w:r w:rsidRPr="007B3375">
              <w:rPr>
                <w:sz w:val="22"/>
                <w:szCs w:val="22"/>
              </w:rPr>
              <w:t>speech interventions</w:t>
            </w:r>
            <w:r w:rsidR="007B3375" w:rsidRPr="007B3375">
              <w:rPr>
                <w:sz w:val="22"/>
                <w:szCs w:val="22"/>
              </w:rPr>
              <w:t xml:space="preserve">, to include </w:t>
            </w:r>
            <w:proofErr w:type="spellStart"/>
            <w:r w:rsidR="007B3375" w:rsidRPr="007B3375">
              <w:rPr>
                <w:sz w:val="22"/>
                <w:szCs w:val="22"/>
              </w:rPr>
              <w:t>Wellcomm</w:t>
            </w:r>
            <w:proofErr w:type="spellEnd"/>
            <w:r w:rsidR="007C4464">
              <w:rPr>
                <w:sz w:val="22"/>
                <w:szCs w:val="22"/>
              </w:rPr>
              <w:t xml:space="preserve"> </w:t>
            </w:r>
            <w:r w:rsidR="007B3375" w:rsidRPr="007B3375">
              <w:rPr>
                <w:sz w:val="22"/>
                <w:szCs w:val="22"/>
              </w:rPr>
              <w:t>by trained TAs</w:t>
            </w:r>
            <w:r w:rsidRPr="007B3375">
              <w:rPr>
                <w:sz w:val="22"/>
                <w:szCs w:val="22"/>
              </w:rPr>
              <w:t xml:space="preserve"> </w:t>
            </w: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A059F" w14:textId="0C4B98E4" w:rsidR="00785B10" w:rsidRPr="007B3375" w:rsidRDefault="007B3375" w:rsidP="00110D7F">
            <w:pPr>
              <w:pStyle w:val="TableRowCentered"/>
              <w:jc w:val="left"/>
              <w:rPr>
                <w:rFonts w:cs="Arial"/>
                <w:color w:val="000000"/>
                <w:sz w:val="22"/>
                <w:szCs w:val="22"/>
              </w:rPr>
            </w:pPr>
            <w:r w:rsidRPr="007B3375">
              <w:rPr>
                <w:rFonts w:cs="Arial"/>
                <w:color w:val="333333"/>
                <w:sz w:val="22"/>
                <w:szCs w:val="22"/>
                <w:shd w:val="clear" w:color="auto" w:fill="FFFFFF"/>
              </w:rPr>
              <w:t>According to the latest data released by the DfE (24 June 2021), speech, language and communication needs (SLCN) are the most common type of primary special educational need (SEN) in state schools.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6966D" w14:textId="61D9F3F9" w:rsidR="00785B10" w:rsidRDefault="008E1AA8" w:rsidP="00110D7F">
            <w:pPr>
              <w:pStyle w:val="TableRowCentered"/>
              <w:jc w:val="left"/>
              <w:rPr>
                <w:sz w:val="22"/>
              </w:rPr>
            </w:pPr>
            <w:r>
              <w:rPr>
                <w:sz w:val="22"/>
              </w:rPr>
              <w:t>1</w:t>
            </w:r>
          </w:p>
        </w:tc>
      </w:tr>
    </w:tbl>
    <w:p w14:paraId="398B376F" w14:textId="77777777" w:rsidR="004E3DE5" w:rsidRDefault="009D71E8" w:rsidP="004E3DE5">
      <w:pPr>
        <w:rPr>
          <w:b/>
          <w:color w:val="104F75"/>
          <w:sz w:val="28"/>
          <w:szCs w:val="28"/>
        </w:rPr>
      </w:pPr>
      <w:r>
        <w:rPr>
          <w:b/>
          <w:color w:val="104F75"/>
          <w:sz w:val="28"/>
          <w:szCs w:val="28"/>
        </w:rPr>
        <w:t>Wider strategies (for example, related to attendance, behaviour, wellbeing)</w:t>
      </w:r>
    </w:p>
    <w:p w14:paraId="2A7D5533" w14:textId="53558697" w:rsidR="00E66558" w:rsidRDefault="009D71E8" w:rsidP="004E3DE5">
      <w:r w:rsidRPr="008E1AA8">
        <w:t xml:space="preserve">Budgeted cost: £ </w:t>
      </w:r>
      <w:r w:rsidR="00FD7A70">
        <w:t>2 315</w:t>
      </w:r>
    </w:p>
    <w:tbl>
      <w:tblPr>
        <w:tblW w:w="5529" w:type="pct"/>
        <w:tblInd w:w="-289" w:type="dxa"/>
        <w:tblCellMar>
          <w:left w:w="10" w:type="dxa"/>
          <w:right w:w="10" w:type="dxa"/>
        </w:tblCellMar>
        <w:tblLook w:val="04A0" w:firstRow="1" w:lastRow="0" w:firstColumn="1" w:lastColumn="0" w:noHBand="0" w:noVBand="1"/>
      </w:tblPr>
      <w:tblGrid>
        <w:gridCol w:w="2694"/>
        <w:gridCol w:w="6379"/>
        <w:gridCol w:w="1417"/>
      </w:tblGrid>
      <w:tr w:rsidR="00E66558" w14:paraId="2A7D5537" w14:textId="77777777" w:rsidTr="007B3375">
        <w:tc>
          <w:tcPr>
            <w:tcW w:w="2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7B3375" w:rsidRDefault="009D71E8">
            <w:pPr>
              <w:pStyle w:val="TableHeader"/>
              <w:jc w:val="left"/>
              <w:rPr>
                <w:sz w:val="20"/>
                <w:szCs w:val="20"/>
              </w:rPr>
            </w:pPr>
            <w:r w:rsidRPr="007B3375">
              <w:rPr>
                <w:sz w:val="20"/>
                <w:szCs w:val="20"/>
              </w:rPr>
              <w:t>Activity</w:t>
            </w:r>
          </w:p>
        </w:tc>
        <w:tc>
          <w:tcPr>
            <w:tcW w:w="637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7B3375" w:rsidRDefault="009D71E8">
            <w:pPr>
              <w:pStyle w:val="TableHeader"/>
              <w:jc w:val="left"/>
              <w:rPr>
                <w:sz w:val="20"/>
                <w:szCs w:val="20"/>
              </w:rPr>
            </w:pPr>
            <w:r w:rsidRPr="007B3375">
              <w:rPr>
                <w:sz w:val="20"/>
                <w:szCs w:val="20"/>
              </w:rPr>
              <w:t>Evidence that supports this approach</w:t>
            </w:r>
          </w:p>
        </w:tc>
        <w:tc>
          <w:tcPr>
            <w:tcW w:w="14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7B3375" w:rsidRDefault="009D71E8">
            <w:pPr>
              <w:pStyle w:val="TableHeader"/>
              <w:jc w:val="left"/>
              <w:rPr>
                <w:sz w:val="20"/>
                <w:szCs w:val="20"/>
              </w:rPr>
            </w:pPr>
            <w:r w:rsidRPr="007B3375">
              <w:rPr>
                <w:sz w:val="20"/>
                <w:szCs w:val="20"/>
              </w:rPr>
              <w:t>Challenge number(s) addressed</w:t>
            </w:r>
          </w:p>
        </w:tc>
      </w:tr>
      <w:tr w:rsidR="00E66558" w14:paraId="2A7D553F" w14:textId="77777777" w:rsidTr="007B3375">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264C5" w14:textId="77777777" w:rsidR="00804434" w:rsidRPr="007B3375" w:rsidRDefault="00197AD2">
            <w:pPr>
              <w:pStyle w:val="TableRow"/>
              <w:rPr>
                <w:sz w:val="22"/>
                <w:szCs w:val="22"/>
              </w:rPr>
            </w:pPr>
            <w:r w:rsidRPr="007B3375">
              <w:rPr>
                <w:sz w:val="22"/>
                <w:szCs w:val="22"/>
              </w:rPr>
              <w:t>Social &amp; emotional readiness</w:t>
            </w:r>
          </w:p>
          <w:p w14:paraId="2A7D553C" w14:textId="2C265973" w:rsidR="00E66558" w:rsidRPr="007B3375" w:rsidRDefault="00EF7597">
            <w:pPr>
              <w:pStyle w:val="TableRow"/>
              <w:rPr>
                <w:sz w:val="22"/>
                <w:szCs w:val="22"/>
                <w:highlight w:val="yellow"/>
              </w:rPr>
            </w:pPr>
            <w:r w:rsidRPr="007B3375">
              <w:rPr>
                <w:sz w:val="22"/>
                <w:szCs w:val="22"/>
              </w:rPr>
              <w:t>Socially Speaking</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AE204F8" w:rsidR="00E66558" w:rsidRPr="007B3375" w:rsidRDefault="00E60642">
            <w:pPr>
              <w:pStyle w:val="TableRowCentered"/>
              <w:jc w:val="left"/>
              <w:rPr>
                <w:sz w:val="22"/>
                <w:szCs w:val="22"/>
              </w:rPr>
            </w:pPr>
            <w:r w:rsidRPr="007B3375">
              <w:rPr>
                <w:sz w:val="22"/>
                <w:szCs w:val="22"/>
              </w:rPr>
              <w:t>Proven to increase self-esteem, listening skills and expressive language abilities resulting in enhanced social interaction.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665480EC" w:rsidR="00E66558" w:rsidRPr="00E60642" w:rsidRDefault="005179DB">
            <w:pPr>
              <w:pStyle w:val="TableRowCentered"/>
              <w:jc w:val="left"/>
            </w:pPr>
            <w:r w:rsidRPr="00E60642">
              <w:t>5</w:t>
            </w:r>
          </w:p>
        </w:tc>
      </w:tr>
      <w:tr w:rsidR="00197AD2" w14:paraId="244783E0" w14:textId="77777777" w:rsidTr="007B3375">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7D23" w14:textId="77777777" w:rsidR="00D839D5" w:rsidRPr="007B3375" w:rsidRDefault="00121344" w:rsidP="00121344">
            <w:pPr>
              <w:suppressAutoHyphens w:val="0"/>
              <w:autoSpaceDE w:val="0"/>
              <w:adjustRightInd w:val="0"/>
              <w:spacing w:after="0" w:line="240" w:lineRule="auto"/>
              <w:rPr>
                <w:rFonts w:cs="Arial"/>
                <w:color w:val="auto"/>
                <w:sz w:val="22"/>
                <w:szCs w:val="22"/>
              </w:rPr>
            </w:pPr>
            <w:r w:rsidRPr="007B3375">
              <w:rPr>
                <w:rFonts w:cs="Arial"/>
                <w:color w:val="auto"/>
                <w:sz w:val="22"/>
                <w:szCs w:val="22"/>
              </w:rPr>
              <w:t>Sustain a system of rewards and incentives for improved</w:t>
            </w:r>
          </w:p>
          <w:p w14:paraId="47186AFE" w14:textId="3C95E185" w:rsidR="00197AD2" w:rsidRPr="007B3375" w:rsidRDefault="00121344" w:rsidP="00121344">
            <w:pPr>
              <w:suppressAutoHyphens w:val="0"/>
              <w:autoSpaceDE w:val="0"/>
              <w:adjustRightInd w:val="0"/>
              <w:spacing w:after="0" w:line="240" w:lineRule="auto"/>
              <w:rPr>
                <w:rFonts w:cs="Arial"/>
                <w:color w:val="auto"/>
                <w:sz w:val="22"/>
                <w:szCs w:val="22"/>
              </w:rPr>
            </w:pPr>
            <w:r w:rsidRPr="007B3375">
              <w:rPr>
                <w:rFonts w:cs="Arial"/>
                <w:color w:val="auto"/>
                <w:sz w:val="22"/>
                <w:szCs w:val="22"/>
              </w:rPr>
              <w:t xml:space="preserve">attendance, including personalised rewards and recognition. </w:t>
            </w:r>
          </w:p>
          <w:p w14:paraId="71CB3F93" w14:textId="5D49D54B" w:rsidR="00121344" w:rsidRPr="007B3375" w:rsidRDefault="00121344" w:rsidP="00121344">
            <w:pPr>
              <w:suppressAutoHyphens w:val="0"/>
              <w:autoSpaceDE w:val="0"/>
              <w:adjustRightInd w:val="0"/>
              <w:spacing w:after="0" w:line="240" w:lineRule="auto"/>
              <w:rPr>
                <w:rFonts w:cs="Arial"/>
                <w:sz w:val="22"/>
                <w:szCs w:val="22"/>
                <w:highlight w:val="yellow"/>
              </w:rPr>
            </w:pPr>
            <w:r w:rsidRPr="007B3375">
              <w:rPr>
                <w:rFonts w:cs="Arial"/>
                <w:sz w:val="22"/>
                <w:szCs w:val="22"/>
              </w:rPr>
              <w:t>Regular meetings to improve parental engagement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5A5C" w14:textId="3DEED8F1" w:rsidR="00847D4C" w:rsidRPr="007B3375" w:rsidRDefault="00847D4C" w:rsidP="00847D4C">
            <w:pPr>
              <w:pStyle w:val="Default"/>
              <w:rPr>
                <w:sz w:val="22"/>
                <w:szCs w:val="22"/>
              </w:rPr>
            </w:pPr>
            <w:r w:rsidRPr="007B3375">
              <w:rPr>
                <w:sz w:val="22"/>
                <w:szCs w:val="22"/>
              </w:rPr>
              <w:t xml:space="preserve">The Department for Education (DfE) published research in 2016 which found that: </w:t>
            </w:r>
          </w:p>
          <w:p w14:paraId="5AFE384E" w14:textId="6861528A" w:rsidR="00847D4C" w:rsidRPr="007B3375" w:rsidRDefault="00847D4C" w:rsidP="00847D4C">
            <w:pPr>
              <w:pStyle w:val="Default"/>
              <w:numPr>
                <w:ilvl w:val="0"/>
                <w:numId w:val="24"/>
              </w:numPr>
              <w:rPr>
                <w:sz w:val="22"/>
                <w:szCs w:val="22"/>
              </w:rPr>
            </w:pPr>
            <w:r w:rsidRPr="007B3375">
              <w:rPr>
                <w:sz w:val="22"/>
                <w:szCs w:val="22"/>
              </w:rPr>
              <w:t xml:space="preserve">The higher the overall absence rate across Key Stage (KS) 2 and KS4, the lower the likely level of attainment at the end of KS2 and KS4 </w:t>
            </w:r>
          </w:p>
          <w:p w14:paraId="1D52D720" w14:textId="265C855E" w:rsidR="00197AD2" w:rsidRPr="007B3375" w:rsidRDefault="00847D4C" w:rsidP="00121344">
            <w:pPr>
              <w:pStyle w:val="Default"/>
              <w:numPr>
                <w:ilvl w:val="0"/>
                <w:numId w:val="22"/>
              </w:numPr>
              <w:rPr>
                <w:sz w:val="22"/>
                <w:szCs w:val="22"/>
              </w:rPr>
            </w:pPr>
            <w:r w:rsidRPr="007B3375">
              <w:rPr>
                <w:sz w:val="22"/>
                <w:szCs w:val="22"/>
              </w:rPr>
              <w:t xml:space="preserve">Pupils with </w:t>
            </w:r>
            <w:r w:rsidRPr="007B3375">
              <w:rPr>
                <w:b/>
                <w:bCs/>
                <w:sz w:val="22"/>
                <w:szCs w:val="22"/>
              </w:rPr>
              <w:t xml:space="preserve">no absence </w:t>
            </w:r>
            <w:r w:rsidRPr="007B3375">
              <w:rPr>
                <w:sz w:val="22"/>
                <w:szCs w:val="22"/>
              </w:rPr>
              <w:t>are 1.3 times more likely to achieve ARE or above, and 3.1 times more likely to achieve GD, than pupils that missed 10-15% of all sessions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3AFAF" w14:textId="039AD7C6" w:rsidR="00197AD2" w:rsidRPr="00E60642" w:rsidRDefault="005179DB">
            <w:pPr>
              <w:pStyle w:val="TableRowCentered"/>
              <w:jc w:val="left"/>
            </w:pPr>
            <w:r w:rsidRPr="00E60642">
              <w:t>4</w:t>
            </w:r>
          </w:p>
        </w:tc>
      </w:tr>
      <w:tr w:rsidR="00937D59" w14:paraId="703CC8F6" w14:textId="77777777" w:rsidTr="007B3375">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84B2C" w14:textId="288887C7" w:rsidR="00937D59" w:rsidRPr="007B3375" w:rsidRDefault="00433B17">
            <w:pPr>
              <w:pStyle w:val="TableRow"/>
              <w:rPr>
                <w:sz w:val="22"/>
                <w:szCs w:val="22"/>
                <w:highlight w:val="yellow"/>
              </w:rPr>
            </w:pPr>
            <w:r>
              <w:rPr>
                <w:sz w:val="22"/>
                <w:szCs w:val="22"/>
              </w:rPr>
              <w:t>Therapy work</w:t>
            </w:r>
            <w:r w:rsidR="00D839D5" w:rsidRPr="007B3375">
              <w:rPr>
                <w:sz w:val="22"/>
                <w:szCs w:val="22"/>
              </w:rPr>
              <w:t xml:space="preserve">- structured </w:t>
            </w:r>
            <w:r w:rsidR="004F144E">
              <w:rPr>
                <w:sz w:val="22"/>
                <w:szCs w:val="22"/>
              </w:rPr>
              <w:t xml:space="preserve">sensory circuits </w:t>
            </w:r>
            <w:r w:rsidR="00D839D5" w:rsidRPr="007B3375">
              <w:rPr>
                <w:sz w:val="22"/>
                <w:szCs w:val="22"/>
              </w:rPr>
              <w:t xml:space="preserve">either on an individual basis or within a group.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AFD9" w14:textId="625C9C4A" w:rsidR="00937D59" w:rsidRPr="007B3375" w:rsidRDefault="00D839D5">
            <w:pPr>
              <w:pStyle w:val="TableRowCentered"/>
              <w:jc w:val="left"/>
              <w:rPr>
                <w:rFonts w:cs="Arial"/>
                <w:sz w:val="22"/>
                <w:szCs w:val="22"/>
              </w:rPr>
            </w:pPr>
            <w:r w:rsidRPr="007B3375">
              <w:rPr>
                <w:rFonts w:cs="Arial"/>
                <w:color w:val="333333"/>
                <w:sz w:val="22"/>
                <w:szCs w:val="22"/>
                <w:shd w:val="clear" w:color="auto" w:fill="FFFFFF"/>
              </w:rPr>
              <w:t>Some studies indicate that 20% of children have some form of psychological problem (Venables (1983); Rutter, Cox et al (1975); Jeffers &amp; Fitzgerald (1991); Porteous (1991) etc.) and that 70% of these are helped through the use of psychological based therapies such as play and creative arts.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F0202" w14:textId="6F0E0AC6" w:rsidR="00937D59" w:rsidRPr="00E60642" w:rsidRDefault="006C4273">
            <w:pPr>
              <w:pStyle w:val="TableRowCentered"/>
              <w:jc w:val="left"/>
            </w:pPr>
            <w:r>
              <w:t>5</w:t>
            </w:r>
          </w:p>
        </w:tc>
      </w:tr>
    </w:tbl>
    <w:p w14:paraId="2A7D5540" w14:textId="77777777" w:rsidR="00E66558" w:rsidRDefault="00E66558">
      <w:pPr>
        <w:spacing w:before="240" w:after="0"/>
        <w:rPr>
          <w:b/>
          <w:bCs/>
          <w:color w:val="104F75"/>
          <w:sz w:val="28"/>
          <w:szCs w:val="28"/>
        </w:rPr>
      </w:pPr>
    </w:p>
    <w:p w14:paraId="2A7D5541" w14:textId="08E39749" w:rsidR="00E66558" w:rsidRDefault="009D71E8" w:rsidP="00120AB1">
      <w:r>
        <w:rPr>
          <w:b/>
          <w:bCs/>
          <w:color w:val="104F75"/>
          <w:sz w:val="28"/>
          <w:szCs w:val="28"/>
        </w:rPr>
        <w:t xml:space="preserve">Total budgeted cost: £ </w:t>
      </w:r>
      <w:r w:rsidR="00712801">
        <w:rPr>
          <w:b/>
          <w:bCs/>
          <w:color w:val="104F75"/>
          <w:sz w:val="28"/>
          <w:szCs w:val="28"/>
        </w:rPr>
        <w:t>40 315</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194CFFB7" w14:textId="77777777" w:rsidR="008E20FA" w:rsidRDefault="009D71E8" w:rsidP="00441F87">
      <w:r>
        <w:t xml:space="preserve">This details the impact that our pupil premium activity had on pupils in the 2020 to 2021 academic year. </w:t>
      </w:r>
    </w:p>
    <w:p w14:paraId="28D065F2" w14:textId="77777777" w:rsidR="00441F87" w:rsidRDefault="00441F87" w:rsidP="00441F87"/>
    <w:p w14:paraId="062F42EC" w14:textId="77777777" w:rsidR="00441F87" w:rsidRDefault="00441F87" w:rsidP="00441F87"/>
    <w:tbl>
      <w:tblPr>
        <w:tblW w:w="9376" w:type="dxa"/>
        <w:tblCellMar>
          <w:left w:w="10" w:type="dxa"/>
          <w:right w:w="10" w:type="dxa"/>
        </w:tblCellMar>
        <w:tblLook w:val="04A0" w:firstRow="1" w:lastRow="0" w:firstColumn="1" w:lastColumn="0" w:noHBand="0" w:noVBand="1"/>
      </w:tblPr>
      <w:tblGrid>
        <w:gridCol w:w="9376"/>
      </w:tblGrid>
      <w:tr w:rsidR="00441F87" w14:paraId="362A376D" w14:textId="77777777" w:rsidTr="00312F3E">
        <w:trPr>
          <w:trHeight w:val="6727"/>
        </w:trPr>
        <w:tc>
          <w:tcPr>
            <w:tcW w:w="9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FA33" w14:textId="77777777" w:rsidR="00441F87" w:rsidRPr="00397186" w:rsidRDefault="00441F87" w:rsidP="00312F3E">
            <w:pPr>
              <w:spacing w:before="120"/>
              <w:rPr>
                <w:b/>
              </w:rPr>
            </w:pPr>
          </w:p>
          <w:p w14:paraId="185965A6" w14:textId="77777777" w:rsidR="00441F87" w:rsidRPr="00C627E1" w:rsidRDefault="00441F87" w:rsidP="00312F3E">
            <w:pPr>
              <w:pStyle w:val="Heading2"/>
              <w:rPr>
                <w:sz w:val="20"/>
                <w:szCs w:val="20"/>
              </w:rPr>
            </w:pPr>
            <w:r w:rsidRPr="00C627E1">
              <w:rPr>
                <w:sz w:val="20"/>
                <w:szCs w:val="20"/>
              </w:rPr>
              <w:t xml:space="preserve">Disadvantaged pupil progress scores for last academic year </w:t>
            </w:r>
          </w:p>
          <w:p w14:paraId="389D5318" w14:textId="77777777" w:rsidR="00441F87" w:rsidRPr="00C627E1" w:rsidRDefault="00441F87" w:rsidP="00312F3E">
            <w:pPr>
              <w:rPr>
                <w:sz w:val="20"/>
                <w:szCs w:val="20"/>
              </w:rPr>
            </w:pPr>
            <w:r w:rsidRPr="00C627E1">
              <w:rPr>
                <w:sz w:val="20"/>
                <w:szCs w:val="20"/>
              </w:rPr>
              <w:t xml:space="preserve">Due to the cancellation of statutory assessments in 2020, internal assessment data (utilising </w:t>
            </w:r>
            <w:proofErr w:type="spellStart"/>
            <w:r>
              <w:rPr>
                <w:sz w:val="20"/>
                <w:szCs w:val="20"/>
              </w:rPr>
              <w:t>NfER</w:t>
            </w:r>
            <w:proofErr w:type="spellEnd"/>
            <w:r w:rsidRPr="00C627E1">
              <w:rPr>
                <w:sz w:val="20"/>
                <w:szCs w:val="20"/>
              </w:rPr>
              <w:t xml:space="preserve"> assessmen</w:t>
            </w:r>
            <w:r>
              <w:rPr>
                <w:sz w:val="20"/>
                <w:szCs w:val="20"/>
              </w:rPr>
              <w:t>ts</w:t>
            </w:r>
            <w:r w:rsidRPr="00C627E1">
              <w:rPr>
                <w:sz w:val="20"/>
                <w:szCs w:val="20"/>
              </w:rPr>
              <w:t xml:space="preserve">) has been used to identify areas for development and PP spending.  </w:t>
            </w:r>
          </w:p>
          <w:tbl>
            <w:tblPr>
              <w:tblStyle w:val="TableGrid"/>
              <w:tblW w:w="0" w:type="auto"/>
              <w:tblLook w:val="04A0" w:firstRow="1" w:lastRow="0" w:firstColumn="1" w:lastColumn="0" w:noHBand="0" w:noVBand="1"/>
            </w:tblPr>
            <w:tblGrid>
              <w:gridCol w:w="1737"/>
              <w:gridCol w:w="926"/>
              <w:gridCol w:w="927"/>
              <w:gridCol w:w="926"/>
              <w:gridCol w:w="927"/>
              <w:gridCol w:w="926"/>
              <w:gridCol w:w="927"/>
              <w:gridCol w:w="926"/>
              <w:gridCol w:w="927"/>
            </w:tblGrid>
            <w:tr w:rsidR="00441F87" w:rsidRPr="00C627E1" w14:paraId="6B749D47" w14:textId="77777777" w:rsidTr="00312F3E">
              <w:trPr>
                <w:trHeight w:val="239"/>
              </w:trPr>
              <w:tc>
                <w:tcPr>
                  <w:tcW w:w="1737" w:type="dxa"/>
                  <w:vAlign w:val="center"/>
                </w:tcPr>
                <w:p w14:paraId="068985A1" w14:textId="77777777" w:rsidR="00441F87" w:rsidRPr="00C627E1" w:rsidRDefault="00441F87" w:rsidP="00312F3E">
                  <w:pPr>
                    <w:spacing w:after="0"/>
                    <w:jc w:val="center"/>
                    <w:rPr>
                      <w:sz w:val="20"/>
                      <w:szCs w:val="20"/>
                    </w:rPr>
                  </w:pPr>
                </w:p>
              </w:tc>
              <w:tc>
                <w:tcPr>
                  <w:tcW w:w="1853" w:type="dxa"/>
                  <w:gridSpan w:val="2"/>
                  <w:shd w:val="clear" w:color="auto" w:fill="DAEEF3" w:themeFill="accent5" w:themeFillTint="33"/>
                  <w:vAlign w:val="center"/>
                </w:tcPr>
                <w:p w14:paraId="64D83705" w14:textId="77777777" w:rsidR="00441F87" w:rsidRPr="00C627E1" w:rsidRDefault="00441F87" w:rsidP="00312F3E">
                  <w:pPr>
                    <w:spacing w:after="0"/>
                    <w:jc w:val="center"/>
                    <w:rPr>
                      <w:sz w:val="20"/>
                      <w:szCs w:val="20"/>
                    </w:rPr>
                  </w:pPr>
                  <w:r w:rsidRPr="00C627E1">
                    <w:rPr>
                      <w:sz w:val="20"/>
                      <w:szCs w:val="20"/>
                    </w:rPr>
                    <w:t>Reading</w:t>
                  </w:r>
                </w:p>
              </w:tc>
              <w:tc>
                <w:tcPr>
                  <w:tcW w:w="1853" w:type="dxa"/>
                  <w:gridSpan w:val="2"/>
                  <w:shd w:val="clear" w:color="auto" w:fill="FDE9D9" w:themeFill="accent6" w:themeFillTint="33"/>
                  <w:vAlign w:val="center"/>
                </w:tcPr>
                <w:p w14:paraId="55C3AA3C" w14:textId="77777777" w:rsidR="00441F87" w:rsidRPr="00C627E1" w:rsidRDefault="00441F87" w:rsidP="00312F3E">
                  <w:pPr>
                    <w:spacing w:after="0"/>
                    <w:jc w:val="center"/>
                    <w:rPr>
                      <w:sz w:val="20"/>
                      <w:szCs w:val="20"/>
                    </w:rPr>
                  </w:pPr>
                  <w:r w:rsidRPr="00C627E1">
                    <w:rPr>
                      <w:sz w:val="20"/>
                      <w:szCs w:val="20"/>
                    </w:rPr>
                    <w:t>Writing</w:t>
                  </w:r>
                </w:p>
              </w:tc>
              <w:tc>
                <w:tcPr>
                  <w:tcW w:w="1853" w:type="dxa"/>
                  <w:gridSpan w:val="2"/>
                  <w:shd w:val="clear" w:color="auto" w:fill="E5DFEC" w:themeFill="accent4" w:themeFillTint="33"/>
                  <w:vAlign w:val="center"/>
                </w:tcPr>
                <w:p w14:paraId="4E669D75" w14:textId="77777777" w:rsidR="00441F87" w:rsidRPr="00C627E1" w:rsidRDefault="00441F87" w:rsidP="00312F3E">
                  <w:pPr>
                    <w:spacing w:after="0"/>
                    <w:jc w:val="center"/>
                    <w:rPr>
                      <w:sz w:val="20"/>
                      <w:szCs w:val="20"/>
                    </w:rPr>
                  </w:pPr>
                  <w:r w:rsidRPr="00C627E1">
                    <w:rPr>
                      <w:sz w:val="20"/>
                      <w:szCs w:val="20"/>
                    </w:rPr>
                    <w:t>Maths</w:t>
                  </w:r>
                </w:p>
              </w:tc>
              <w:tc>
                <w:tcPr>
                  <w:tcW w:w="1853" w:type="dxa"/>
                  <w:gridSpan w:val="2"/>
                  <w:shd w:val="clear" w:color="auto" w:fill="EAF1DD" w:themeFill="accent3" w:themeFillTint="33"/>
                  <w:vAlign w:val="center"/>
                </w:tcPr>
                <w:p w14:paraId="51B36D4A" w14:textId="77777777" w:rsidR="00441F87" w:rsidRPr="00C627E1" w:rsidRDefault="00441F87" w:rsidP="00312F3E">
                  <w:pPr>
                    <w:spacing w:after="0"/>
                    <w:jc w:val="center"/>
                    <w:rPr>
                      <w:sz w:val="20"/>
                      <w:szCs w:val="20"/>
                    </w:rPr>
                  </w:pPr>
                  <w:r w:rsidRPr="00C627E1">
                    <w:rPr>
                      <w:sz w:val="20"/>
                      <w:szCs w:val="20"/>
                    </w:rPr>
                    <w:t>Combined</w:t>
                  </w:r>
                </w:p>
              </w:tc>
            </w:tr>
            <w:tr w:rsidR="00441F87" w:rsidRPr="00C627E1" w14:paraId="6DCE73C7" w14:textId="77777777" w:rsidTr="00312F3E">
              <w:trPr>
                <w:trHeight w:val="92"/>
              </w:trPr>
              <w:tc>
                <w:tcPr>
                  <w:tcW w:w="1737" w:type="dxa"/>
                  <w:vAlign w:val="center"/>
                </w:tcPr>
                <w:p w14:paraId="73C28E1F" w14:textId="77777777" w:rsidR="00441F87" w:rsidRPr="00C627E1" w:rsidRDefault="00441F87" w:rsidP="00312F3E">
                  <w:pPr>
                    <w:spacing w:after="0"/>
                    <w:jc w:val="center"/>
                    <w:rPr>
                      <w:sz w:val="20"/>
                      <w:szCs w:val="20"/>
                    </w:rPr>
                  </w:pPr>
                </w:p>
              </w:tc>
              <w:tc>
                <w:tcPr>
                  <w:tcW w:w="926" w:type="dxa"/>
                  <w:shd w:val="clear" w:color="auto" w:fill="DAEEF3" w:themeFill="accent5" w:themeFillTint="33"/>
                  <w:vAlign w:val="center"/>
                </w:tcPr>
                <w:p w14:paraId="09D339AB" w14:textId="77777777" w:rsidR="00441F87" w:rsidRPr="00C627E1" w:rsidRDefault="00441F87" w:rsidP="00312F3E">
                  <w:pPr>
                    <w:spacing w:after="0"/>
                    <w:jc w:val="center"/>
                    <w:rPr>
                      <w:b/>
                      <w:sz w:val="20"/>
                      <w:szCs w:val="20"/>
                    </w:rPr>
                  </w:pPr>
                  <w:r w:rsidRPr="00C627E1">
                    <w:rPr>
                      <w:b/>
                      <w:sz w:val="20"/>
                      <w:szCs w:val="20"/>
                    </w:rPr>
                    <w:t>PP</w:t>
                  </w:r>
                </w:p>
              </w:tc>
              <w:tc>
                <w:tcPr>
                  <w:tcW w:w="927" w:type="dxa"/>
                  <w:shd w:val="clear" w:color="auto" w:fill="DAEEF3" w:themeFill="accent5" w:themeFillTint="33"/>
                  <w:vAlign w:val="center"/>
                </w:tcPr>
                <w:p w14:paraId="07581916" w14:textId="77777777" w:rsidR="00441F87" w:rsidRPr="00C627E1" w:rsidRDefault="00441F87" w:rsidP="00312F3E">
                  <w:pPr>
                    <w:spacing w:after="0"/>
                    <w:jc w:val="center"/>
                    <w:rPr>
                      <w:b/>
                      <w:sz w:val="20"/>
                      <w:szCs w:val="20"/>
                    </w:rPr>
                  </w:pPr>
                  <w:r w:rsidRPr="00C627E1">
                    <w:rPr>
                      <w:b/>
                      <w:sz w:val="20"/>
                      <w:szCs w:val="20"/>
                    </w:rPr>
                    <w:t>Not PP</w:t>
                  </w:r>
                </w:p>
              </w:tc>
              <w:tc>
                <w:tcPr>
                  <w:tcW w:w="926" w:type="dxa"/>
                  <w:shd w:val="clear" w:color="auto" w:fill="FDE9D9" w:themeFill="accent6" w:themeFillTint="33"/>
                  <w:vAlign w:val="center"/>
                </w:tcPr>
                <w:p w14:paraId="59C70ACD" w14:textId="77777777" w:rsidR="00441F87" w:rsidRPr="00C627E1" w:rsidRDefault="00441F87" w:rsidP="00312F3E">
                  <w:pPr>
                    <w:spacing w:after="0"/>
                    <w:jc w:val="center"/>
                    <w:rPr>
                      <w:b/>
                      <w:sz w:val="20"/>
                      <w:szCs w:val="20"/>
                    </w:rPr>
                  </w:pPr>
                  <w:r w:rsidRPr="00C627E1">
                    <w:rPr>
                      <w:b/>
                      <w:sz w:val="20"/>
                      <w:szCs w:val="20"/>
                    </w:rPr>
                    <w:t>PP</w:t>
                  </w:r>
                </w:p>
              </w:tc>
              <w:tc>
                <w:tcPr>
                  <w:tcW w:w="927" w:type="dxa"/>
                  <w:shd w:val="clear" w:color="auto" w:fill="FDE9D9" w:themeFill="accent6" w:themeFillTint="33"/>
                  <w:vAlign w:val="center"/>
                </w:tcPr>
                <w:p w14:paraId="43F641F3" w14:textId="77777777" w:rsidR="00441F87" w:rsidRPr="00C627E1" w:rsidRDefault="00441F87" w:rsidP="00312F3E">
                  <w:pPr>
                    <w:spacing w:after="0"/>
                    <w:jc w:val="center"/>
                    <w:rPr>
                      <w:b/>
                      <w:sz w:val="20"/>
                      <w:szCs w:val="20"/>
                    </w:rPr>
                  </w:pPr>
                  <w:r w:rsidRPr="00C627E1">
                    <w:rPr>
                      <w:b/>
                      <w:sz w:val="20"/>
                      <w:szCs w:val="20"/>
                    </w:rPr>
                    <w:t>Not PP</w:t>
                  </w:r>
                </w:p>
              </w:tc>
              <w:tc>
                <w:tcPr>
                  <w:tcW w:w="926" w:type="dxa"/>
                  <w:shd w:val="clear" w:color="auto" w:fill="E5DFEC" w:themeFill="accent4" w:themeFillTint="33"/>
                  <w:vAlign w:val="center"/>
                </w:tcPr>
                <w:p w14:paraId="594CDB32" w14:textId="77777777" w:rsidR="00441F87" w:rsidRPr="00C627E1" w:rsidRDefault="00441F87" w:rsidP="00312F3E">
                  <w:pPr>
                    <w:spacing w:after="0"/>
                    <w:jc w:val="center"/>
                    <w:rPr>
                      <w:b/>
                      <w:sz w:val="20"/>
                      <w:szCs w:val="20"/>
                    </w:rPr>
                  </w:pPr>
                  <w:r w:rsidRPr="00C627E1">
                    <w:rPr>
                      <w:b/>
                      <w:sz w:val="20"/>
                      <w:szCs w:val="20"/>
                    </w:rPr>
                    <w:t>PP</w:t>
                  </w:r>
                </w:p>
              </w:tc>
              <w:tc>
                <w:tcPr>
                  <w:tcW w:w="927" w:type="dxa"/>
                  <w:shd w:val="clear" w:color="auto" w:fill="E5DFEC" w:themeFill="accent4" w:themeFillTint="33"/>
                  <w:vAlign w:val="center"/>
                </w:tcPr>
                <w:p w14:paraId="7481F7C9" w14:textId="77777777" w:rsidR="00441F87" w:rsidRPr="00C627E1" w:rsidRDefault="00441F87" w:rsidP="00312F3E">
                  <w:pPr>
                    <w:spacing w:after="0"/>
                    <w:jc w:val="center"/>
                    <w:rPr>
                      <w:b/>
                      <w:sz w:val="20"/>
                      <w:szCs w:val="20"/>
                    </w:rPr>
                  </w:pPr>
                  <w:r w:rsidRPr="00C627E1">
                    <w:rPr>
                      <w:b/>
                      <w:sz w:val="20"/>
                      <w:szCs w:val="20"/>
                    </w:rPr>
                    <w:t>Not PP</w:t>
                  </w:r>
                </w:p>
              </w:tc>
              <w:tc>
                <w:tcPr>
                  <w:tcW w:w="926" w:type="dxa"/>
                  <w:shd w:val="clear" w:color="auto" w:fill="EAF1DD" w:themeFill="accent3" w:themeFillTint="33"/>
                  <w:vAlign w:val="center"/>
                </w:tcPr>
                <w:p w14:paraId="390BC611" w14:textId="77777777" w:rsidR="00441F87" w:rsidRPr="00C627E1" w:rsidRDefault="00441F87" w:rsidP="00312F3E">
                  <w:pPr>
                    <w:spacing w:after="0"/>
                    <w:jc w:val="center"/>
                    <w:rPr>
                      <w:b/>
                      <w:sz w:val="20"/>
                      <w:szCs w:val="20"/>
                    </w:rPr>
                  </w:pPr>
                  <w:r w:rsidRPr="00C627E1">
                    <w:rPr>
                      <w:b/>
                      <w:sz w:val="20"/>
                      <w:szCs w:val="20"/>
                    </w:rPr>
                    <w:t>PP</w:t>
                  </w:r>
                </w:p>
              </w:tc>
              <w:tc>
                <w:tcPr>
                  <w:tcW w:w="927" w:type="dxa"/>
                  <w:shd w:val="clear" w:color="auto" w:fill="EAF1DD" w:themeFill="accent3" w:themeFillTint="33"/>
                  <w:vAlign w:val="center"/>
                </w:tcPr>
                <w:p w14:paraId="13BA5152" w14:textId="77777777" w:rsidR="00441F87" w:rsidRPr="00C627E1" w:rsidRDefault="00441F87" w:rsidP="00312F3E">
                  <w:pPr>
                    <w:spacing w:after="0"/>
                    <w:jc w:val="center"/>
                    <w:rPr>
                      <w:b/>
                      <w:sz w:val="20"/>
                      <w:szCs w:val="20"/>
                    </w:rPr>
                  </w:pPr>
                  <w:r w:rsidRPr="00C627E1">
                    <w:rPr>
                      <w:b/>
                      <w:sz w:val="20"/>
                      <w:szCs w:val="20"/>
                    </w:rPr>
                    <w:t>Not PP</w:t>
                  </w:r>
                </w:p>
              </w:tc>
            </w:tr>
            <w:tr w:rsidR="00441F87" w:rsidRPr="00C627E1" w14:paraId="7A9DDEF2" w14:textId="77777777" w:rsidTr="00312F3E">
              <w:trPr>
                <w:trHeight w:val="92"/>
              </w:trPr>
              <w:tc>
                <w:tcPr>
                  <w:tcW w:w="1737" w:type="dxa"/>
                  <w:vAlign w:val="center"/>
                </w:tcPr>
                <w:p w14:paraId="243C93F4" w14:textId="77777777" w:rsidR="00441F87" w:rsidRPr="00C627E1" w:rsidRDefault="00441F87" w:rsidP="00312F3E">
                  <w:pPr>
                    <w:spacing w:after="0"/>
                    <w:jc w:val="center"/>
                    <w:rPr>
                      <w:b/>
                      <w:sz w:val="20"/>
                      <w:szCs w:val="20"/>
                    </w:rPr>
                  </w:pPr>
                  <w:r w:rsidRPr="00C627E1">
                    <w:rPr>
                      <w:b/>
                      <w:sz w:val="20"/>
                      <w:szCs w:val="20"/>
                    </w:rPr>
                    <w:t>Year 1</w:t>
                  </w:r>
                </w:p>
                <w:p w14:paraId="4304B874" w14:textId="77777777" w:rsidR="00441F87" w:rsidRPr="00C627E1" w:rsidRDefault="00441F87" w:rsidP="00312F3E">
                  <w:pPr>
                    <w:spacing w:after="0"/>
                    <w:jc w:val="center"/>
                    <w:rPr>
                      <w:b/>
                      <w:sz w:val="20"/>
                      <w:szCs w:val="20"/>
                    </w:rPr>
                  </w:pPr>
                  <w:r w:rsidRPr="00C627E1">
                    <w:rPr>
                      <w:b/>
                      <w:sz w:val="20"/>
                      <w:szCs w:val="20"/>
                    </w:rPr>
                    <w:t>(</w:t>
                  </w:r>
                  <w:r>
                    <w:rPr>
                      <w:b/>
                      <w:sz w:val="20"/>
                      <w:szCs w:val="20"/>
                    </w:rPr>
                    <w:t>2</w:t>
                  </w:r>
                  <w:r w:rsidRPr="00C627E1">
                    <w:rPr>
                      <w:b/>
                      <w:sz w:val="20"/>
                      <w:szCs w:val="20"/>
                    </w:rPr>
                    <w:t>)</w:t>
                  </w:r>
                </w:p>
              </w:tc>
              <w:tc>
                <w:tcPr>
                  <w:tcW w:w="926" w:type="dxa"/>
                  <w:shd w:val="clear" w:color="auto" w:fill="DAEEF3" w:themeFill="accent5" w:themeFillTint="33"/>
                  <w:vAlign w:val="center"/>
                </w:tcPr>
                <w:p w14:paraId="2725188D" w14:textId="77777777" w:rsidR="00441F87" w:rsidRPr="00C627E1" w:rsidRDefault="00441F87" w:rsidP="00312F3E">
                  <w:pPr>
                    <w:spacing w:after="0"/>
                    <w:jc w:val="center"/>
                    <w:rPr>
                      <w:sz w:val="20"/>
                      <w:szCs w:val="20"/>
                    </w:rPr>
                  </w:pPr>
                  <w:r>
                    <w:rPr>
                      <w:sz w:val="20"/>
                      <w:szCs w:val="20"/>
                    </w:rPr>
                    <w:t>50%</w:t>
                  </w:r>
                </w:p>
              </w:tc>
              <w:tc>
                <w:tcPr>
                  <w:tcW w:w="927" w:type="dxa"/>
                  <w:shd w:val="clear" w:color="auto" w:fill="DAEEF3" w:themeFill="accent5" w:themeFillTint="33"/>
                  <w:vAlign w:val="center"/>
                </w:tcPr>
                <w:p w14:paraId="552BADF7" w14:textId="77777777" w:rsidR="00441F87" w:rsidRPr="00C627E1" w:rsidRDefault="00441F87" w:rsidP="00312F3E">
                  <w:pPr>
                    <w:spacing w:after="0"/>
                    <w:jc w:val="center"/>
                    <w:rPr>
                      <w:sz w:val="20"/>
                      <w:szCs w:val="20"/>
                    </w:rPr>
                  </w:pPr>
                  <w:r>
                    <w:rPr>
                      <w:sz w:val="20"/>
                      <w:szCs w:val="20"/>
                    </w:rPr>
                    <w:t>89%</w:t>
                  </w:r>
                </w:p>
              </w:tc>
              <w:tc>
                <w:tcPr>
                  <w:tcW w:w="926" w:type="dxa"/>
                  <w:shd w:val="clear" w:color="auto" w:fill="FDE9D9" w:themeFill="accent6" w:themeFillTint="33"/>
                  <w:vAlign w:val="center"/>
                </w:tcPr>
                <w:p w14:paraId="07BDC748" w14:textId="77777777" w:rsidR="00441F87" w:rsidRPr="00C627E1" w:rsidRDefault="00441F87" w:rsidP="00312F3E">
                  <w:pPr>
                    <w:spacing w:after="0"/>
                    <w:jc w:val="center"/>
                    <w:rPr>
                      <w:sz w:val="20"/>
                      <w:szCs w:val="20"/>
                    </w:rPr>
                  </w:pPr>
                  <w:r>
                    <w:rPr>
                      <w:sz w:val="20"/>
                      <w:szCs w:val="20"/>
                    </w:rPr>
                    <w:t>0%</w:t>
                  </w:r>
                </w:p>
              </w:tc>
              <w:tc>
                <w:tcPr>
                  <w:tcW w:w="927" w:type="dxa"/>
                  <w:shd w:val="clear" w:color="auto" w:fill="FDE9D9" w:themeFill="accent6" w:themeFillTint="33"/>
                  <w:vAlign w:val="center"/>
                </w:tcPr>
                <w:p w14:paraId="1692D3E0" w14:textId="77777777" w:rsidR="00441F87" w:rsidRPr="00C627E1" w:rsidRDefault="00441F87" w:rsidP="00312F3E">
                  <w:pPr>
                    <w:spacing w:after="0"/>
                    <w:jc w:val="center"/>
                    <w:rPr>
                      <w:sz w:val="20"/>
                      <w:szCs w:val="20"/>
                    </w:rPr>
                  </w:pPr>
                  <w:r>
                    <w:rPr>
                      <w:sz w:val="20"/>
                      <w:szCs w:val="20"/>
                    </w:rPr>
                    <w:t>89%</w:t>
                  </w:r>
                </w:p>
              </w:tc>
              <w:tc>
                <w:tcPr>
                  <w:tcW w:w="926" w:type="dxa"/>
                  <w:shd w:val="clear" w:color="auto" w:fill="E5DFEC" w:themeFill="accent4" w:themeFillTint="33"/>
                  <w:vAlign w:val="center"/>
                </w:tcPr>
                <w:p w14:paraId="19D6ED21" w14:textId="77777777" w:rsidR="00441F87" w:rsidRPr="00C627E1" w:rsidRDefault="00441F87" w:rsidP="00312F3E">
                  <w:pPr>
                    <w:spacing w:after="0"/>
                    <w:jc w:val="center"/>
                    <w:rPr>
                      <w:sz w:val="20"/>
                      <w:szCs w:val="20"/>
                    </w:rPr>
                  </w:pPr>
                  <w:r>
                    <w:rPr>
                      <w:sz w:val="20"/>
                      <w:szCs w:val="20"/>
                    </w:rPr>
                    <w:t>50%</w:t>
                  </w:r>
                </w:p>
              </w:tc>
              <w:tc>
                <w:tcPr>
                  <w:tcW w:w="927" w:type="dxa"/>
                  <w:shd w:val="clear" w:color="auto" w:fill="E5DFEC" w:themeFill="accent4" w:themeFillTint="33"/>
                  <w:vAlign w:val="center"/>
                </w:tcPr>
                <w:p w14:paraId="6553B9AB" w14:textId="77777777" w:rsidR="00441F87" w:rsidRPr="00C627E1" w:rsidRDefault="00441F87" w:rsidP="00312F3E">
                  <w:pPr>
                    <w:spacing w:after="0"/>
                    <w:jc w:val="center"/>
                    <w:rPr>
                      <w:sz w:val="20"/>
                      <w:szCs w:val="20"/>
                    </w:rPr>
                  </w:pPr>
                  <w:r>
                    <w:rPr>
                      <w:sz w:val="20"/>
                      <w:szCs w:val="20"/>
                    </w:rPr>
                    <w:t>89%</w:t>
                  </w:r>
                </w:p>
              </w:tc>
              <w:tc>
                <w:tcPr>
                  <w:tcW w:w="926" w:type="dxa"/>
                  <w:shd w:val="clear" w:color="auto" w:fill="EAF1DD" w:themeFill="accent3" w:themeFillTint="33"/>
                  <w:vAlign w:val="center"/>
                </w:tcPr>
                <w:p w14:paraId="5806B52E" w14:textId="77777777" w:rsidR="00441F87" w:rsidRPr="00C627E1" w:rsidRDefault="00441F87" w:rsidP="00312F3E">
                  <w:pPr>
                    <w:spacing w:after="0"/>
                    <w:jc w:val="center"/>
                    <w:rPr>
                      <w:sz w:val="20"/>
                      <w:szCs w:val="20"/>
                    </w:rPr>
                  </w:pPr>
                  <w:r>
                    <w:rPr>
                      <w:sz w:val="20"/>
                      <w:szCs w:val="20"/>
                    </w:rPr>
                    <w:t>0%</w:t>
                  </w:r>
                </w:p>
              </w:tc>
              <w:tc>
                <w:tcPr>
                  <w:tcW w:w="927" w:type="dxa"/>
                  <w:shd w:val="clear" w:color="auto" w:fill="EAF1DD" w:themeFill="accent3" w:themeFillTint="33"/>
                  <w:vAlign w:val="center"/>
                </w:tcPr>
                <w:p w14:paraId="14617A4F" w14:textId="77777777" w:rsidR="00441F87" w:rsidRPr="00C627E1" w:rsidRDefault="00441F87" w:rsidP="00312F3E">
                  <w:pPr>
                    <w:spacing w:after="0"/>
                    <w:jc w:val="center"/>
                    <w:rPr>
                      <w:sz w:val="20"/>
                      <w:szCs w:val="20"/>
                    </w:rPr>
                  </w:pPr>
                  <w:r>
                    <w:rPr>
                      <w:sz w:val="20"/>
                      <w:szCs w:val="20"/>
                    </w:rPr>
                    <w:t>89%</w:t>
                  </w:r>
                </w:p>
              </w:tc>
            </w:tr>
            <w:tr w:rsidR="00441F87" w:rsidRPr="00C627E1" w14:paraId="2DA49A7A" w14:textId="77777777" w:rsidTr="00312F3E">
              <w:trPr>
                <w:trHeight w:val="92"/>
              </w:trPr>
              <w:tc>
                <w:tcPr>
                  <w:tcW w:w="1737" w:type="dxa"/>
                  <w:vAlign w:val="center"/>
                </w:tcPr>
                <w:p w14:paraId="157ED73D" w14:textId="77777777" w:rsidR="00441F87" w:rsidRPr="00C627E1" w:rsidRDefault="00441F87" w:rsidP="00312F3E">
                  <w:pPr>
                    <w:spacing w:after="0"/>
                    <w:jc w:val="center"/>
                    <w:rPr>
                      <w:b/>
                      <w:sz w:val="20"/>
                      <w:szCs w:val="20"/>
                    </w:rPr>
                  </w:pPr>
                  <w:r>
                    <w:rPr>
                      <w:b/>
                      <w:sz w:val="20"/>
                      <w:szCs w:val="20"/>
                    </w:rPr>
                    <w:t>Year 2</w:t>
                  </w:r>
                </w:p>
                <w:p w14:paraId="3E13F33C" w14:textId="77777777" w:rsidR="00441F87" w:rsidRPr="00C627E1" w:rsidRDefault="00441F87" w:rsidP="00312F3E">
                  <w:pPr>
                    <w:spacing w:after="0"/>
                    <w:jc w:val="center"/>
                    <w:rPr>
                      <w:b/>
                      <w:sz w:val="20"/>
                      <w:szCs w:val="20"/>
                    </w:rPr>
                  </w:pPr>
                  <w:r w:rsidRPr="00C627E1">
                    <w:rPr>
                      <w:b/>
                      <w:sz w:val="20"/>
                      <w:szCs w:val="20"/>
                    </w:rPr>
                    <w:t>(</w:t>
                  </w:r>
                  <w:r>
                    <w:rPr>
                      <w:b/>
                      <w:sz w:val="20"/>
                      <w:szCs w:val="20"/>
                    </w:rPr>
                    <w:t>2</w:t>
                  </w:r>
                  <w:r w:rsidRPr="00C627E1">
                    <w:rPr>
                      <w:b/>
                      <w:sz w:val="20"/>
                      <w:szCs w:val="20"/>
                    </w:rPr>
                    <w:t>)</w:t>
                  </w:r>
                </w:p>
              </w:tc>
              <w:tc>
                <w:tcPr>
                  <w:tcW w:w="926" w:type="dxa"/>
                  <w:shd w:val="clear" w:color="auto" w:fill="DAEEF3" w:themeFill="accent5" w:themeFillTint="33"/>
                  <w:vAlign w:val="center"/>
                </w:tcPr>
                <w:p w14:paraId="1E6727DB" w14:textId="77777777" w:rsidR="00441F87" w:rsidRPr="00C627E1" w:rsidRDefault="00441F87" w:rsidP="00312F3E">
                  <w:pPr>
                    <w:spacing w:after="0"/>
                    <w:jc w:val="center"/>
                    <w:rPr>
                      <w:sz w:val="20"/>
                      <w:szCs w:val="20"/>
                    </w:rPr>
                  </w:pPr>
                  <w:r>
                    <w:rPr>
                      <w:sz w:val="20"/>
                      <w:szCs w:val="20"/>
                    </w:rPr>
                    <w:t>0%</w:t>
                  </w:r>
                </w:p>
              </w:tc>
              <w:tc>
                <w:tcPr>
                  <w:tcW w:w="927" w:type="dxa"/>
                  <w:shd w:val="clear" w:color="auto" w:fill="DAEEF3" w:themeFill="accent5" w:themeFillTint="33"/>
                  <w:vAlign w:val="center"/>
                </w:tcPr>
                <w:p w14:paraId="7670B4FA" w14:textId="77777777" w:rsidR="00441F87" w:rsidRPr="00C627E1" w:rsidRDefault="00441F87" w:rsidP="00312F3E">
                  <w:pPr>
                    <w:spacing w:after="0"/>
                    <w:jc w:val="center"/>
                    <w:rPr>
                      <w:sz w:val="20"/>
                      <w:szCs w:val="20"/>
                    </w:rPr>
                  </w:pPr>
                  <w:r>
                    <w:rPr>
                      <w:sz w:val="20"/>
                      <w:szCs w:val="20"/>
                    </w:rPr>
                    <w:t>43%</w:t>
                  </w:r>
                </w:p>
              </w:tc>
              <w:tc>
                <w:tcPr>
                  <w:tcW w:w="926" w:type="dxa"/>
                  <w:shd w:val="clear" w:color="auto" w:fill="FDE9D9" w:themeFill="accent6" w:themeFillTint="33"/>
                  <w:vAlign w:val="center"/>
                </w:tcPr>
                <w:p w14:paraId="5CDBD268" w14:textId="77777777" w:rsidR="00441F87" w:rsidRPr="00C627E1" w:rsidRDefault="00441F87" w:rsidP="00312F3E">
                  <w:pPr>
                    <w:spacing w:after="0"/>
                    <w:jc w:val="center"/>
                    <w:rPr>
                      <w:sz w:val="20"/>
                      <w:szCs w:val="20"/>
                    </w:rPr>
                  </w:pPr>
                  <w:r>
                    <w:rPr>
                      <w:sz w:val="20"/>
                      <w:szCs w:val="20"/>
                    </w:rPr>
                    <w:t>0%</w:t>
                  </w:r>
                </w:p>
              </w:tc>
              <w:tc>
                <w:tcPr>
                  <w:tcW w:w="927" w:type="dxa"/>
                  <w:shd w:val="clear" w:color="auto" w:fill="FDE9D9" w:themeFill="accent6" w:themeFillTint="33"/>
                  <w:vAlign w:val="center"/>
                </w:tcPr>
                <w:p w14:paraId="7823B5B9" w14:textId="77777777" w:rsidR="00441F87" w:rsidRPr="00C627E1" w:rsidRDefault="00441F87" w:rsidP="00312F3E">
                  <w:pPr>
                    <w:spacing w:after="0"/>
                    <w:jc w:val="center"/>
                    <w:rPr>
                      <w:sz w:val="20"/>
                      <w:szCs w:val="20"/>
                    </w:rPr>
                  </w:pPr>
                  <w:r>
                    <w:rPr>
                      <w:sz w:val="20"/>
                      <w:szCs w:val="20"/>
                    </w:rPr>
                    <w:t>43%</w:t>
                  </w:r>
                </w:p>
              </w:tc>
              <w:tc>
                <w:tcPr>
                  <w:tcW w:w="926" w:type="dxa"/>
                  <w:shd w:val="clear" w:color="auto" w:fill="E5DFEC" w:themeFill="accent4" w:themeFillTint="33"/>
                  <w:vAlign w:val="center"/>
                </w:tcPr>
                <w:p w14:paraId="0CFF6129" w14:textId="77777777" w:rsidR="00441F87" w:rsidRPr="00C627E1" w:rsidRDefault="00441F87" w:rsidP="00312F3E">
                  <w:pPr>
                    <w:spacing w:after="0"/>
                    <w:jc w:val="center"/>
                    <w:rPr>
                      <w:sz w:val="20"/>
                      <w:szCs w:val="20"/>
                    </w:rPr>
                  </w:pPr>
                  <w:r>
                    <w:rPr>
                      <w:sz w:val="20"/>
                      <w:szCs w:val="20"/>
                    </w:rPr>
                    <w:t>0%</w:t>
                  </w:r>
                </w:p>
              </w:tc>
              <w:tc>
                <w:tcPr>
                  <w:tcW w:w="927" w:type="dxa"/>
                  <w:shd w:val="clear" w:color="auto" w:fill="E5DFEC" w:themeFill="accent4" w:themeFillTint="33"/>
                  <w:vAlign w:val="center"/>
                </w:tcPr>
                <w:p w14:paraId="3C3F2B8D" w14:textId="77777777" w:rsidR="00441F87" w:rsidRPr="00C627E1" w:rsidRDefault="00441F87" w:rsidP="00312F3E">
                  <w:pPr>
                    <w:spacing w:after="0"/>
                    <w:jc w:val="center"/>
                    <w:rPr>
                      <w:sz w:val="20"/>
                      <w:szCs w:val="20"/>
                    </w:rPr>
                  </w:pPr>
                  <w:r>
                    <w:rPr>
                      <w:sz w:val="20"/>
                      <w:szCs w:val="20"/>
                    </w:rPr>
                    <w:t>43%</w:t>
                  </w:r>
                </w:p>
              </w:tc>
              <w:tc>
                <w:tcPr>
                  <w:tcW w:w="926" w:type="dxa"/>
                  <w:shd w:val="clear" w:color="auto" w:fill="EAF1DD" w:themeFill="accent3" w:themeFillTint="33"/>
                  <w:vAlign w:val="center"/>
                </w:tcPr>
                <w:p w14:paraId="5E7688E7" w14:textId="77777777" w:rsidR="00441F87" w:rsidRPr="00C627E1" w:rsidRDefault="00441F87" w:rsidP="00312F3E">
                  <w:pPr>
                    <w:spacing w:after="0"/>
                    <w:jc w:val="center"/>
                    <w:rPr>
                      <w:sz w:val="20"/>
                      <w:szCs w:val="20"/>
                    </w:rPr>
                  </w:pPr>
                  <w:r>
                    <w:rPr>
                      <w:sz w:val="20"/>
                      <w:szCs w:val="20"/>
                    </w:rPr>
                    <w:t>0%</w:t>
                  </w:r>
                </w:p>
              </w:tc>
              <w:tc>
                <w:tcPr>
                  <w:tcW w:w="927" w:type="dxa"/>
                  <w:shd w:val="clear" w:color="auto" w:fill="EAF1DD" w:themeFill="accent3" w:themeFillTint="33"/>
                  <w:vAlign w:val="center"/>
                </w:tcPr>
                <w:p w14:paraId="046EE71B" w14:textId="77777777" w:rsidR="00441F87" w:rsidRPr="00C627E1" w:rsidRDefault="00441F87" w:rsidP="00312F3E">
                  <w:pPr>
                    <w:spacing w:after="0"/>
                    <w:jc w:val="center"/>
                    <w:rPr>
                      <w:sz w:val="20"/>
                      <w:szCs w:val="20"/>
                    </w:rPr>
                  </w:pPr>
                  <w:r>
                    <w:rPr>
                      <w:sz w:val="20"/>
                      <w:szCs w:val="20"/>
                    </w:rPr>
                    <w:t>43%</w:t>
                  </w:r>
                </w:p>
              </w:tc>
            </w:tr>
            <w:tr w:rsidR="00441F87" w:rsidRPr="00C627E1" w14:paraId="40CFC7F1" w14:textId="77777777" w:rsidTr="00312F3E">
              <w:trPr>
                <w:trHeight w:val="92"/>
              </w:trPr>
              <w:tc>
                <w:tcPr>
                  <w:tcW w:w="1737" w:type="dxa"/>
                  <w:vAlign w:val="center"/>
                </w:tcPr>
                <w:p w14:paraId="1EC6FF7B" w14:textId="77777777" w:rsidR="00441F87" w:rsidRPr="00C627E1" w:rsidRDefault="00441F87" w:rsidP="00312F3E">
                  <w:pPr>
                    <w:spacing w:after="0"/>
                    <w:jc w:val="center"/>
                    <w:rPr>
                      <w:b/>
                      <w:sz w:val="20"/>
                      <w:szCs w:val="20"/>
                    </w:rPr>
                  </w:pPr>
                  <w:r>
                    <w:rPr>
                      <w:b/>
                      <w:sz w:val="20"/>
                      <w:szCs w:val="20"/>
                    </w:rPr>
                    <w:t>Year 3</w:t>
                  </w:r>
                </w:p>
                <w:p w14:paraId="5343DE42" w14:textId="77777777" w:rsidR="00441F87" w:rsidRPr="00C627E1" w:rsidRDefault="00441F87" w:rsidP="00312F3E">
                  <w:pPr>
                    <w:spacing w:after="0"/>
                    <w:jc w:val="center"/>
                    <w:rPr>
                      <w:b/>
                      <w:sz w:val="20"/>
                      <w:szCs w:val="20"/>
                    </w:rPr>
                  </w:pPr>
                  <w:r w:rsidRPr="00C627E1">
                    <w:rPr>
                      <w:b/>
                      <w:sz w:val="20"/>
                      <w:szCs w:val="20"/>
                    </w:rPr>
                    <w:t>(</w:t>
                  </w:r>
                  <w:r>
                    <w:rPr>
                      <w:b/>
                      <w:sz w:val="20"/>
                      <w:szCs w:val="20"/>
                    </w:rPr>
                    <w:t>5</w:t>
                  </w:r>
                  <w:r w:rsidRPr="00C627E1">
                    <w:rPr>
                      <w:b/>
                      <w:sz w:val="20"/>
                      <w:szCs w:val="20"/>
                    </w:rPr>
                    <w:t xml:space="preserve">) </w:t>
                  </w:r>
                </w:p>
              </w:tc>
              <w:tc>
                <w:tcPr>
                  <w:tcW w:w="926" w:type="dxa"/>
                  <w:shd w:val="clear" w:color="auto" w:fill="DAEEF3" w:themeFill="accent5" w:themeFillTint="33"/>
                  <w:vAlign w:val="center"/>
                </w:tcPr>
                <w:p w14:paraId="6DB27C3D" w14:textId="77777777" w:rsidR="00441F87" w:rsidRPr="00202358" w:rsidRDefault="00441F87" w:rsidP="00312F3E">
                  <w:pPr>
                    <w:spacing w:after="0"/>
                    <w:jc w:val="center"/>
                    <w:rPr>
                      <w:sz w:val="20"/>
                      <w:szCs w:val="20"/>
                    </w:rPr>
                  </w:pPr>
                  <w:r>
                    <w:rPr>
                      <w:sz w:val="20"/>
                      <w:szCs w:val="20"/>
                    </w:rPr>
                    <w:t>80</w:t>
                  </w:r>
                  <w:r w:rsidRPr="00202358">
                    <w:rPr>
                      <w:sz w:val="20"/>
                      <w:szCs w:val="20"/>
                    </w:rPr>
                    <w:t>%</w:t>
                  </w:r>
                </w:p>
              </w:tc>
              <w:tc>
                <w:tcPr>
                  <w:tcW w:w="927" w:type="dxa"/>
                  <w:shd w:val="clear" w:color="auto" w:fill="DAEEF3" w:themeFill="accent5" w:themeFillTint="33"/>
                  <w:vAlign w:val="center"/>
                </w:tcPr>
                <w:p w14:paraId="7355306F" w14:textId="77777777" w:rsidR="00441F87" w:rsidRPr="00202358" w:rsidRDefault="00441F87" w:rsidP="00312F3E">
                  <w:pPr>
                    <w:spacing w:after="0"/>
                    <w:jc w:val="center"/>
                    <w:rPr>
                      <w:sz w:val="20"/>
                      <w:szCs w:val="20"/>
                    </w:rPr>
                  </w:pPr>
                  <w:r w:rsidRPr="00202358">
                    <w:rPr>
                      <w:sz w:val="20"/>
                      <w:szCs w:val="20"/>
                    </w:rPr>
                    <w:t>67%</w:t>
                  </w:r>
                </w:p>
              </w:tc>
              <w:tc>
                <w:tcPr>
                  <w:tcW w:w="926" w:type="dxa"/>
                  <w:shd w:val="clear" w:color="auto" w:fill="FDE9D9" w:themeFill="accent6" w:themeFillTint="33"/>
                  <w:vAlign w:val="center"/>
                </w:tcPr>
                <w:p w14:paraId="26301154" w14:textId="77777777" w:rsidR="00441F87" w:rsidRPr="00202358" w:rsidRDefault="00441F87" w:rsidP="00312F3E">
                  <w:pPr>
                    <w:spacing w:after="0"/>
                    <w:jc w:val="center"/>
                    <w:rPr>
                      <w:sz w:val="20"/>
                      <w:szCs w:val="20"/>
                    </w:rPr>
                  </w:pPr>
                  <w:r>
                    <w:rPr>
                      <w:sz w:val="20"/>
                      <w:szCs w:val="20"/>
                    </w:rPr>
                    <w:t>20</w:t>
                  </w:r>
                  <w:r w:rsidRPr="00202358">
                    <w:rPr>
                      <w:sz w:val="20"/>
                      <w:szCs w:val="20"/>
                    </w:rPr>
                    <w:t>%</w:t>
                  </w:r>
                </w:p>
              </w:tc>
              <w:tc>
                <w:tcPr>
                  <w:tcW w:w="927" w:type="dxa"/>
                  <w:shd w:val="clear" w:color="auto" w:fill="FDE9D9" w:themeFill="accent6" w:themeFillTint="33"/>
                  <w:vAlign w:val="center"/>
                </w:tcPr>
                <w:p w14:paraId="1D1598DD" w14:textId="77777777" w:rsidR="00441F87" w:rsidRPr="00202358" w:rsidRDefault="00441F87" w:rsidP="00312F3E">
                  <w:pPr>
                    <w:spacing w:after="0"/>
                    <w:jc w:val="center"/>
                    <w:rPr>
                      <w:sz w:val="20"/>
                      <w:szCs w:val="20"/>
                    </w:rPr>
                  </w:pPr>
                  <w:r>
                    <w:rPr>
                      <w:sz w:val="20"/>
                      <w:szCs w:val="20"/>
                    </w:rPr>
                    <w:t>33%</w:t>
                  </w:r>
                </w:p>
              </w:tc>
              <w:tc>
                <w:tcPr>
                  <w:tcW w:w="926" w:type="dxa"/>
                  <w:shd w:val="clear" w:color="auto" w:fill="E5DFEC" w:themeFill="accent4" w:themeFillTint="33"/>
                  <w:vAlign w:val="center"/>
                </w:tcPr>
                <w:p w14:paraId="6096057D" w14:textId="77777777" w:rsidR="00441F87" w:rsidRPr="00202358" w:rsidRDefault="00441F87" w:rsidP="00312F3E">
                  <w:pPr>
                    <w:spacing w:after="0"/>
                    <w:jc w:val="center"/>
                    <w:rPr>
                      <w:sz w:val="20"/>
                      <w:szCs w:val="20"/>
                    </w:rPr>
                  </w:pPr>
                  <w:r>
                    <w:rPr>
                      <w:sz w:val="20"/>
                      <w:szCs w:val="20"/>
                    </w:rPr>
                    <w:t>60%</w:t>
                  </w:r>
                </w:p>
              </w:tc>
              <w:tc>
                <w:tcPr>
                  <w:tcW w:w="927" w:type="dxa"/>
                  <w:shd w:val="clear" w:color="auto" w:fill="E5DFEC" w:themeFill="accent4" w:themeFillTint="33"/>
                  <w:vAlign w:val="center"/>
                </w:tcPr>
                <w:p w14:paraId="765D76E1" w14:textId="77777777" w:rsidR="00441F87" w:rsidRPr="00202358" w:rsidRDefault="00441F87" w:rsidP="00312F3E">
                  <w:pPr>
                    <w:spacing w:after="0"/>
                    <w:jc w:val="center"/>
                    <w:rPr>
                      <w:sz w:val="20"/>
                      <w:szCs w:val="20"/>
                    </w:rPr>
                  </w:pPr>
                  <w:r>
                    <w:rPr>
                      <w:sz w:val="20"/>
                      <w:szCs w:val="20"/>
                    </w:rPr>
                    <w:t>83%</w:t>
                  </w:r>
                </w:p>
              </w:tc>
              <w:tc>
                <w:tcPr>
                  <w:tcW w:w="926" w:type="dxa"/>
                  <w:shd w:val="clear" w:color="auto" w:fill="EAF1DD" w:themeFill="accent3" w:themeFillTint="33"/>
                  <w:vAlign w:val="center"/>
                </w:tcPr>
                <w:p w14:paraId="7AA69A35" w14:textId="77777777" w:rsidR="00441F87" w:rsidRPr="00202358" w:rsidRDefault="00441F87" w:rsidP="00312F3E">
                  <w:pPr>
                    <w:spacing w:after="0"/>
                    <w:jc w:val="center"/>
                    <w:rPr>
                      <w:sz w:val="20"/>
                      <w:szCs w:val="20"/>
                    </w:rPr>
                  </w:pPr>
                  <w:r>
                    <w:rPr>
                      <w:sz w:val="20"/>
                      <w:szCs w:val="20"/>
                    </w:rPr>
                    <w:t>20%</w:t>
                  </w:r>
                </w:p>
              </w:tc>
              <w:tc>
                <w:tcPr>
                  <w:tcW w:w="927" w:type="dxa"/>
                  <w:shd w:val="clear" w:color="auto" w:fill="EAF1DD" w:themeFill="accent3" w:themeFillTint="33"/>
                  <w:vAlign w:val="center"/>
                </w:tcPr>
                <w:p w14:paraId="6476E8D9" w14:textId="77777777" w:rsidR="00441F87" w:rsidRPr="00202358" w:rsidRDefault="00441F87" w:rsidP="00312F3E">
                  <w:pPr>
                    <w:spacing w:after="0"/>
                    <w:jc w:val="center"/>
                    <w:rPr>
                      <w:sz w:val="20"/>
                      <w:szCs w:val="20"/>
                    </w:rPr>
                  </w:pPr>
                  <w:r>
                    <w:rPr>
                      <w:sz w:val="20"/>
                      <w:szCs w:val="20"/>
                    </w:rPr>
                    <w:t>33%</w:t>
                  </w:r>
                </w:p>
              </w:tc>
            </w:tr>
            <w:tr w:rsidR="00441F87" w:rsidRPr="00C627E1" w14:paraId="26D349F4" w14:textId="77777777" w:rsidTr="00312F3E">
              <w:trPr>
                <w:trHeight w:val="92"/>
              </w:trPr>
              <w:tc>
                <w:tcPr>
                  <w:tcW w:w="1737" w:type="dxa"/>
                  <w:vAlign w:val="center"/>
                </w:tcPr>
                <w:p w14:paraId="7E362CBB" w14:textId="77777777" w:rsidR="00441F87" w:rsidRPr="00C627E1" w:rsidRDefault="00441F87" w:rsidP="00312F3E">
                  <w:pPr>
                    <w:spacing w:after="0"/>
                    <w:jc w:val="center"/>
                    <w:rPr>
                      <w:b/>
                      <w:sz w:val="20"/>
                      <w:szCs w:val="20"/>
                    </w:rPr>
                  </w:pPr>
                  <w:r>
                    <w:rPr>
                      <w:b/>
                      <w:sz w:val="20"/>
                      <w:szCs w:val="20"/>
                    </w:rPr>
                    <w:t>Year 4</w:t>
                  </w:r>
                </w:p>
                <w:p w14:paraId="7F5F0D5F" w14:textId="77777777" w:rsidR="00441F87" w:rsidRPr="00C627E1" w:rsidRDefault="00441F87" w:rsidP="00312F3E">
                  <w:pPr>
                    <w:spacing w:after="0"/>
                    <w:jc w:val="center"/>
                    <w:rPr>
                      <w:b/>
                      <w:sz w:val="20"/>
                      <w:szCs w:val="20"/>
                    </w:rPr>
                  </w:pPr>
                  <w:r w:rsidRPr="00C627E1">
                    <w:rPr>
                      <w:b/>
                      <w:sz w:val="20"/>
                      <w:szCs w:val="20"/>
                    </w:rPr>
                    <w:t>(</w:t>
                  </w:r>
                  <w:r>
                    <w:rPr>
                      <w:b/>
                      <w:sz w:val="20"/>
                      <w:szCs w:val="20"/>
                    </w:rPr>
                    <w:t>5</w:t>
                  </w:r>
                  <w:r w:rsidRPr="00C627E1">
                    <w:rPr>
                      <w:b/>
                      <w:sz w:val="20"/>
                      <w:szCs w:val="20"/>
                    </w:rPr>
                    <w:t>)</w:t>
                  </w:r>
                </w:p>
              </w:tc>
              <w:tc>
                <w:tcPr>
                  <w:tcW w:w="926" w:type="dxa"/>
                  <w:shd w:val="clear" w:color="auto" w:fill="DAEEF3" w:themeFill="accent5" w:themeFillTint="33"/>
                  <w:vAlign w:val="center"/>
                </w:tcPr>
                <w:p w14:paraId="7C90F70F" w14:textId="77777777" w:rsidR="00441F87" w:rsidRPr="00202358" w:rsidRDefault="00441F87" w:rsidP="00312F3E">
                  <w:pPr>
                    <w:spacing w:after="0"/>
                    <w:jc w:val="center"/>
                    <w:rPr>
                      <w:sz w:val="20"/>
                      <w:szCs w:val="20"/>
                    </w:rPr>
                  </w:pPr>
                  <w:r>
                    <w:rPr>
                      <w:sz w:val="20"/>
                      <w:szCs w:val="20"/>
                    </w:rPr>
                    <w:t>50%</w:t>
                  </w:r>
                </w:p>
              </w:tc>
              <w:tc>
                <w:tcPr>
                  <w:tcW w:w="927" w:type="dxa"/>
                  <w:shd w:val="clear" w:color="auto" w:fill="DAEEF3" w:themeFill="accent5" w:themeFillTint="33"/>
                  <w:vAlign w:val="center"/>
                </w:tcPr>
                <w:p w14:paraId="6062FCE6" w14:textId="77777777" w:rsidR="00441F87" w:rsidRPr="00202358" w:rsidRDefault="00441F87" w:rsidP="00312F3E">
                  <w:pPr>
                    <w:spacing w:after="0"/>
                    <w:jc w:val="center"/>
                    <w:rPr>
                      <w:sz w:val="20"/>
                      <w:szCs w:val="20"/>
                    </w:rPr>
                  </w:pPr>
                  <w:r>
                    <w:rPr>
                      <w:sz w:val="20"/>
                      <w:szCs w:val="20"/>
                    </w:rPr>
                    <w:t>50%</w:t>
                  </w:r>
                </w:p>
              </w:tc>
              <w:tc>
                <w:tcPr>
                  <w:tcW w:w="926" w:type="dxa"/>
                  <w:shd w:val="clear" w:color="auto" w:fill="FDE9D9" w:themeFill="accent6" w:themeFillTint="33"/>
                  <w:vAlign w:val="center"/>
                </w:tcPr>
                <w:p w14:paraId="508CE689" w14:textId="77777777" w:rsidR="00441F87" w:rsidRPr="00202358" w:rsidRDefault="00441F87" w:rsidP="00312F3E">
                  <w:pPr>
                    <w:spacing w:after="0"/>
                    <w:jc w:val="center"/>
                    <w:rPr>
                      <w:sz w:val="20"/>
                      <w:szCs w:val="20"/>
                    </w:rPr>
                  </w:pPr>
                  <w:r>
                    <w:rPr>
                      <w:sz w:val="20"/>
                      <w:szCs w:val="20"/>
                    </w:rPr>
                    <w:t>50%</w:t>
                  </w:r>
                </w:p>
              </w:tc>
              <w:tc>
                <w:tcPr>
                  <w:tcW w:w="927" w:type="dxa"/>
                  <w:shd w:val="clear" w:color="auto" w:fill="FDE9D9" w:themeFill="accent6" w:themeFillTint="33"/>
                  <w:vAlign w:val="center"/>
                </w:tcPr>
                <w:p w14:paraId="4874ED96" w14:textId="77777777" w:rsidR="00441F87" w:rsidRPr="00202358" w:rsidRDefault="00441F87" w:rsidP="00312F3E">
                  <w:pPr>
                    <w:spacing w:after="0"/>
                    <w:jc w:val="center"/>
                    <w:rPr>
                      <w:sz w:val="20"/>
                      <w:szCs w:val="20"/>
                    </w:rPr>
                  </w:pPr>
                  <w:r>
                    <w:rPr>
                      <w:sz w:val="20"/>
                      <w:szCs w:val="20"/>
                    </w:rPr>
                    <w:t>50%</w:t>
                  </w:r>
                </w:p>
              </w:tc>
              <w:tc>
                <w:tcPr>
                  <w:tcW w:w="926" w:type="dxa"/>
                  <w:shd w:val="clear" w:color="auto" w:fill="E5DFEC" w:themeFill="accent4" w:themeFillTint="33"/>
                  <w:vAlign w:val="center"/>
                </w:tcPr>
                <w:p w14:paraId="48CB68D6" w14:textId="77777777" w:rsidR="00441F87" w:rsidRPr="00202358" w:rsidRDefault="00441F87" w:rsidP="00312F3E">
                  <w:pPr>
                    <w:spacing w:after="0"/>
                    <w:jc w:val="center"/>
                    <w:rPr>
                      <w:sz w:val="20"/>
                      <w:szCs w:val="20"/>
                    </w:rPr>
                  </w:pPr>
                  <w:r>
                    <w:rPr>
                      <w:sz w:val="20"/>
                      <w:szCs w:val="20"/>
                    </w:rPr>
                    <w:t>50%</w:t>
                  </w:r>
                </w:p>
              </w:tc>
              <w:tc>
                <w:tcPr>
                  <w:tcW w:w="927" w:type="dxa"/>
                  <w:shd w:val="clear" w:color="auto" w:fill="E5DFEC" w:themeFill="accent4" w:themeFillTint="33"/>
                  <w:vAlign w:val="center"/>
                </w:tcPr>
                <w:p w14:paraId="3E81AF50" w14:textId="77777777" w:rsidR="00441F87" w:rsidRPr="00202358" w:rsidRDefault="00441F87" w:rsidP="00312F3E">
                  <w:pPr>
                    <w:spacing w:after="0"/>
                    <w:jc w:val="center"/>
                    <w:rPr>
                      <w:sz w:val="20"/>
                      <w:szCs w:val="20"/>
                    </w:rPr>
                  </w:pPr>
                  <w:r>
                    <w:rPr>
                      <w:sz w:val="20"/>
                      <w:szCs w:val="20"/>
                    </w:rPr>
                    <w:t>50%</w:t>
                  </w:r>
                </w:p>
              </w:tc>
              <w:tc>
                <w:tcPr>
                  <w:tcW w:w="926" w:type="dxa"/>
                  <w:shd w:val="clear" w:color="auto" w:fill="EAF1DD" w:themeFill="accent3" w:themeFillTint="33"/>
                  <w:vAlign w:val="center"/>
                </w:tcPr>
                <w:p w14:paraId="102F542D" w14:textId="77777777" w:rsidR="00441F87" w:rsidRPr="00202358" w:rsidRDefault="00441F87" w:rsidP="00312F3E">
                  <w:pPr>
                    <w:spacing w:after="0"/>
                    <w:jc w:val="center"/>
                    <w:rPr>
                      <w:sz w:val="20"/>
                      <w:szCs w:val="20"/>
                    </w:rPr>
                  </w:pPr>
                  <w:r>
                    <w:rPr>
                      <w:sz w:val="20"/>
                      <w:szCs w:val="20"/>
                    </w:rPr>
                    <w:t>50%</w:t>
                  </w:r>
                </w:p>
              </w:tc>
              <w:tc>
                <w:tcPr>
                  <w:tcW w:w="927" w:type="dxa"/>
                  <w:shd w:val="clear" w:color="auto" w:fill="EAF1DD" w:themeFill="accent3" w:themeFillTint="33"/>
                  <w:vAlign w:val="center"/>
                </w:tcPr>
                <w:p w14:paraId="02BCFA19" w14:textId="77777777" w:rsidR="00441F87" w:rsidRPr="00202358" w:rsidRDefault="00441F87" w:rsidP="00312F3E">
                  <w:pPr>
                    <w:spacing w:after="0"/>
                    <w:jc w:val="center"/>
                    <w:rPr>
                      <w:sz w:val="20"/>
                      <w:szCs w:val="20"/>
                    </w:rPr>
                  </w:pPr>
                  <w:r>
                    <w:rPr>
                      <w:sz w:val="20"/>
                      <w:szCs w:val="20"/>
                    </w:rPr>
                    <w:t>50%</w:t>
                  </w:r>
                </w:p>
              </w:tc>
            </w:tr>
            <w:tr w:rsidR="00441F87" w:rsidRPr="00C627E1" w14:paraId="5A267DD0" w14:textId="77777777" w:rsidTr="00312F3E">
              <w:trPr>
                <w:trHeight w:val="92"/>
              </w:trPr>
              <w:tc>
                <w:tcPr>
                  <w:tcW w:w="1737" w:type="dxa"/>
                  <w:vAlign w:val="center"/>
                </w:tcPr>
                <w:p w14:paraId="12C8EA51" w14:textId="77777777" w:rsidR="00441F87" w:rsidRPr="00C627E1" w:rsidRDefault="00441F87" w:rsidP="00312F3E">
                  <w:pPr>
                    <w:spacing w:after="0"/>
                    <w:jc w:val="center"/>
                    <w:rPr>
                      <w:b/>
                      <w:sz w:val="20"/>
                      <w:szCs w:val="20"/>
                    </w:rPr>
                  </w:pPr>
                  <w:r>
                    <w:rPr>
                      <w:b/>
                      <w:sz w:val="20"/>
                      <w:szCs w:val="20"/>
                    </w:rPr>
                    <w:t>Year 5</w:t>
                  </w:r>
                </w:p>
                <w:p w14:paraId="40D1D348" w14:textId="77777777" w:rsidR="00441F87" w:rsidRPr="00C627E1" w:rsidRDefault="00441F87" w:rsidP="00312F3E">
                  <w:pPr>
                    <w:spacing w:after="0"/>
                    <w:jc w:val="center"/>
                    <w:rPr>
                      <w:b/>
                      <w:sz w:val="20"/>
                      <w:szCs w:val="20"/>
                    </w:rPr>
                  </w:pPr>
                  <w:r w:rsidRPr="00C627E1">
                    <w:rPr>
                      <w:b/>
                      <w:sz w:val="20"/>
                      <w:szCs w:val="20"/>
                    </w:rPr>
                    <w:t>(</w:t>
                  </w:r>
                  <w:r>
                    <w:rPr>
                      <w:b/>
                      <w:sz w:val="20"/>
                      <w:szCs w:val="20"/>
                    </w:rPr>
                    <w:t>6</w:t>
                  </w:r>
                  <w:r w:rsidRPr="00C627E1">
                    <w:rPr>
                      <w:b/>
                      <w:sz w:val="20"/>
                      <w:szCs w:val="20"/>
                    </w:rPr>
                    <w:t>)</w:t>
                  </w:r>
                </w:p>
              </w:tc>
              <w:tc>
                <w:tcPr>
                  <w:tcW w:w="926" w:type="dxa"/>
                  <w:shd w:val="clear" w:color="auto" w:fill="DAEEF3" w:themeFill="accent5" w:themeFillTint="33"/>
                  <w:vAlign w:val="center"/>
                </w:tcPr>
                <w:p w14:paraId="4CA3514A" w14:textId="77777777" w:rsidR="00441F87" w:rsidRPr="00202358" w:rsidRDefault="00441F87" w:rsidP="00312F3E">
                  <w:pPr>
                    <w:spacing w:after="0"/>
                    <w:jc w:val="center"/>
                    <w:rPr>
                      <w:sz w:val="20"/>
                      <w:szCs w:val="20"/>
                    </w:rPr>
                  </w:pPr>
                  <w:r>
                    <w:rPr>
                      <w:sz w:val="20"/>
                      <w:szCs w:val="20"/>
                    </w:rPr>
                    <w:t>60%</w:t>
                  </w:r>
                </w:p>
              </w:tc>
              <w:tc>
                <w:tcPr>
                  <w:tcW w:w="927" w:type="dxa"/>
                  <w:shd w:val="clear" w:color="auto" w:fill="DAEEF3" w:themeFill="accent5" w:themeFillTint="33"/>
                  <w:vAlign w:val="center"/>
                </w:tcPr>
                <w:p w14:paraId="30725F72" w14:textId="77777777" w:rsidR="00441F87" w:rsidRPr="00202358" w:rsidRDefault="00441F87" w:rsidP="00312F3E">
                  <w:pPr>
                    <w:spacing w:after="0"/>
                    <w:jc w:val="center"/>
                    <w:rPr>
                      <w:sz w:val="20"/>
                      <w:szCs w:val="20"/>
                    </w:rPr>
                  </w:pPr>
                  <w:r>
                    <w:rPr>
                      <w:sz w:val="20"/>
                      <w:szCs w:val="20"/>
                    </w:rPr>
                    <w:t>60%</w:t>
                  </w:r>
                </w:p>
              </w:tc>
              <w:tc>
                <w:tcPr>
                  <w:tcW w:w="926" w:type="dxa"/>
                  <w:shd w:val="clear" w:color="auto" w:fill="FDE9D9" w:themeFill="accent6" w:themeFillTint="33"/>
                  <w:vAlign w:val="center"/>
                </w:tcPr>
                <w:p w14:paraId="2EC470E8" w14:textId="77777777" w:rsidR="00441F87" w:rsidRPr="00202358" w:rsidRDefault="00441F87" w:rsidP="00312F3E">
                  <w:pPr>
                    <w:spacing w:after="0"/>
                    <w:jc w:val="center"/>
                    <w:rPr>
                      <w:sz w:val="20"/>
                      <w:szCs w:val="20"/>
                    </w:rPr>
                  </w:pPr>
                  <w:r>
                    <w:rPr>
                      <w:sz w:val="20"/>
                      <w:szCs w:val="20"/>
                    </w:rPr>
                    <w:t>40%</w:t>
                  </w:r>
                </w:p>
              </w:tc>
              <w:tc>
                <w:tcPr>
                  <w:tcW w:w="927" w:type="dxa"/>
                  <w:shd w:val="clear" w:color="auto" w:fill="FDE9D9" w:themeFill="accent6" w:themeFillTint="33"/>
                  <w:vAlign w:val="center"/>
                </w:tcPr>
                <w:p w14:paraId="412C3B9D" w14:textId="77777777" w:rsidR="00441F87" w:rsidRPr="00202358" w:rsidRDefault="00441F87" w:rsidP="00312F3E">
                  <w:pPr>
                    <w:spacing w:after="0"/>
                    <w:jc w:val="center"/>
                    <w:rPr>
                      <w:sz w:val="20"/>
                      <w:szCs w:val="20"/>
                    </w:rPr>
                  </w:pPr>
                  <w:r>
                    <w:rPr>
                      <w:sz w:val="20"/>
                      <w:szCs w:val="20"/>
                    </w:rPr>
                    <w:t>40%</w:t>
                  </w:r>
                </w:p>
              </w:tc>
              <w:tc>
                <w:tcPr>
                  <w:tcW w:w="926" w:type="dxa"/>
                  <w:shd w:val="clear" w:color="auto" w:fill="E5DFEC" w:themeFill="accent4" w:themeFillTint="33"/>
                  <w:vAlign w:val="center"/>
                </w:tcPr>
                <w:p w14:paraId="58F7CCE0" w14:textId="77777777" w:rsidR="00441F87" w:rsidRPr="00202358" w:rsidRDefault="00441F87" w:rsidP="00312F3E">
                  <w:pPr>
                    <w:spacing w:after="0"/>
                    <w:jc w:val="center"/>
                    <w:rPr>
                      <w:sz w:val="20"/>
                      <w:szCs w:val="20"/>
                    </w:rPr>
                  </w:pPr>
                  <w:r>
                    <w:rPr>
                      <w:sz w:val="20"/>
                      <w:szCs w:val="20"/>
                    </w:rPr>
                    <w:t>60%</w:t>
                  </w:r>
                </w:p>
              </w:tc>
              <w:tc>
                <w:tcPr>
                  <w:tcW w:w="927" w:type="dxa"/>
                  <w:shd w:val="clear" w:color="auto" w:fill="E5DFEC" w:themeFill="accent4" w:themeFillTint="33"/>
                  <w:vAlign w:val="center"/>
                </w:tcPr>
                <w:p w14:paraId="357B9B39" w14:textId="77777777" w:rsidR="00441F87" w:rsidRPr="00202358" w:rsidRDefault="00441F87" w:rsidP="00312F3E">
                  <w:pPr>
                    <w:spacing w:after="0"/>
                    <w:jc w:val="center"/>
                    <w:rPr>
                      <w:sz w:val="20"/>
                      <w:szCs w:val="20"/>
                    </w:rPr>
                  </w:pPr>
                  <w:r>
                    <w:rPr>
                      <w:sz w:val="20"/>
                      <w:szCs w:val="20"/>
                    </w:rPr>
                    <w:t>60%</w:t>
                  </w:r>
                </w:p>
              </w:tc>
              <w:tc>
                <w:tcPr>
                  <w:tcW w:w="926" w:type="dxa"/>
                  <w:shd w:val="clear" w:color="auto" w:fill="EAF1DD" w:themeFill="accent3" w:themeFillTint="33"/>
                  <w:vAlign w:val="center"/>
                </w:tcPr>
                <w:p w14:paraId="61FE981F" w14:textId="77777777" w:rsidR="00441F87" w:rsidRPr="00202358" w:rsidRDefault="00441F87" w:rsidP="00312F3E">
                  <w:pPr>
                    <w:spacing w:after="0"/>
                    <w:jc w:val="center"/>
                    <w:rPr>
                      <w:sz w:val="20"/>
                      <w:szCs w:val="20"/>
                    </w:rPr>
                  </w:pPr>
                  <w:r>
                    <w:rPr>
                      <w:sz w:val="20"/>
                      <w:szCs w:val="20"/>
                    </w:rPr>
                    <w:t>40%</w:t>
                  </w:r>
                </w:p>
              </w:tc>
              <w:tc>
                <w:tcPr>
                  <w:tcW w:w="927" w:type="dxa"/>
                  <w:shd w:val="clear" w:color="auto" w:fill="EAF1DD" w:themeFill="accent3" w:themeFillTint="33"/>
                  <w:vAlign w:val="center"/>
                </w:tcPr>
                <w:p w14:paraId="7F1EC2DC" w14:textId="77777777" w:rsidR="00441F87" w:rsidRPr="00202358" w:rsidRDefault="00441F87" w:rsidP="00312F3E">
                  <w:pPr>
                    <w:spacing w:after="0"/>
                    <w:jc w:val="center"/>
                    <w:rPr>
                      <w:sz w:val="20"/>
                      <w:szCs w:val="20"/>
                    </w:rPr>
                  </w:pPr>
                  <w:r>
                    <w:rPr>
                      <w:sz w:val="20"/>
                      <w:szCs w:val="20"/>
                    </w:rPr>
                    <w:t>40%</w:t>
                  </w:r>
                </w:p>
              </w:tc>
            </w:tr>
            <w:tr w:rsidR="00441F87" w:rsidRPr="00C627E1" w14:paraId="1DE74567" w14:textId="77777777" w:rsidTr="00312F3E">
              <w:trPr>
                <w:trHeight w:val="92"/>
              </w:trPr>
              <w:tc>
                <w:tcPr>
                  <w:tcW w:w="1737" w:type="dxa"/>
                  <w:vAlign w:val="center"/>
                </w:tcPr>
                <w:p w14:paraId="11B57333" w14:textId="77777777" w:rsidR="00441F87" w:rsidRPr="00C627E1" w:rsidRDefault="00441F87" w:rsidP="00312F3E">
                  <w:pPr>
                    <w:spacing w:after="0"/>
                    <w:jc w:val="center"/>
                    <w:rPr>
                      <w:b/>
                      <w:sz w:val="20"/>
                      <w:szCs w:val="20"/>
                    </w:rPr>
                  </w:pPr>
                  <w:r>
                    <w:rPr>
                      <w:b/>
                      <w:sz w:val="20"/>
                      <w:szCs w:val="20"/>
                    </w:rPr>
                    <w:t>Year 6</w:t>
                  </w:r>
                  <w:r w:rsidRPr="00C627E1">
                    <w:rPr>
                      <w:b/>
                      <w:sz w:val="20"/>
                      <w:szCs w:val="20"/>
                    </w:rPr>
                    <w:t xml:space="preserve"> </w:t>
                  </w:r>
                </w:p>
                <w:p w14:paraId="79112ECF" w14:textId="77777777" w:rsidR="00441F87" w:rsidRPr="00C627E1" w:rsidRDefault="00441F87" w:rsidP="00312F3E">
                  <w:pPr>
                    <w:spacing w:after="0"/>
                    <w:jc w:val="center"/>
                    <w:rPr>
                      <w:b/>
                      <w:sz w:val="20"/>
                      <w:szCs w:val="20"/>
                    </w:rPr>
                  </w:pPr>
                  <w:r w:rsidRPr="00C627E1">
                    <w:rPr>
                      <w:b/>
                      <w:sz w:val="20"/>
                      <w:szCs w:val="20"/>
                    </w:rPr>
                    <w:t>(</w:t>
                  </w:r>
                  <w:r>
                    <w:rPr>
                      <w:b/>
                      <w:sz w:val="20"/>
                      <w:szCs w:val="20"/>
                    </w:rPr>
                    <w:t>5</w:t>
                  </w:r>
                  <w:r w:rsidRPr="00C627E1">
                    <w:rPr>
                      <w:b/>
                      <w:sz w:val="20"/>
                      <w:szCs w:val="20"/>
                    </w:rPr>
                    <w:t>)</w:t>
                  </w:r>
                </w:p>
              </w:tc>
              <w:tc>
                <w:tcPr>
                  <w:tcW w:w="926" w:type="dxa"/>
                  <w:shd w:val="clear" w:color="auto" w:fill="DAEEF3" w:themeFill="accent5" w:themeFillTint="33"/>
                  <w:vAlign w:val="center"/>
                </w:tcPr>
                <w:p w14:paraId="233DBFC0" w14:textId="77777777" w:rsidR="00441F87" w:rsidRPr="00202358" w:rsidRDefault="00441F87" w:rsidP="00312F3E">
                  <w:pPr>
                    <w:spacing w:after="0"/>
                    <w:jc w:val="center"/>
                    <w:rPr>
                      <w:sz w:val="20"/>
                      <w:szCs w:val="20"/>
                    </w:rPr>
                  </w:pPr>
                  <w:r>
                    <w:rPr>
                      <w:sz w:val="20"/>
                      <w:szCs w:val="20"/>
                    </w:rPr>
                    <w:t>20%</w:t>
                  </w:r>
                </w:p>
              </w:tc>
              <w:tc>
                <w:tcPr>
                  <w:tcW w:w="927" w:type="dxa"/>
                  <w:shd w:val="clear" w:color="auto" w:fill="DAEEF3" w:themeFill="accent5" w:themeFillTint="33"/>
                  <w:vAlign w:val="center"/>
                </w:tcPr>
                <w:p w14:paraId="12F1E8AB" w14:textId="77777777" w:rsidR="00441F87" w:rsidRPr="00202358" w:rsidRDefault="00441F87" w:rsidP="00312F3E">
                  <w:pPr>
                    <w:spacing w:after="0"/>
                    <w:jc w:val="center"/>
                    <w:rPr>
                      <w:sz w:val="20"/>
                      <w:szCs w:val="20"/>
                    </w:rPr>
                  </w:pPr>
                  <w:r>
                    <w:rPr>
                      <w:sz w:val="20"/>
                      <w:szCs w:val="20"/>
                    </w:rPr>
                    <w:t>43%</w:t>
                  </w:r>
                </w:p>
              </w:tc>
              <w:tc>
                <w:tcPr>
                  <w:tcW w:w="926" w:type="dxa"/>
                  <w:shd w:val="clear" w:color="auto" w:fill="FDE9D9" w:themeFill="accent6" w:themeFillTint="33"/>
                  <w:vAlign w:val="center"/>
                </w:tcPr>
                <w:p w14:paraId="65779946" w14:textId="77777777" w:rsidR="00441F87" w:rsidRPr="00202358" w:rsidRDefault="00441F87" w:rsidP="00312F3E">
                  <w:pPr>
                    <w:spacing w:after="0"/>
                    <w:jc w:val="center"/>
                    <w:rPr>
                      <w:sz w:val="20"/>
                      <w:szCs w:val="20"/>
                    </w:rPr>
                  </w:pPr>
                  <w:r>
                    <w:rPr>
                      <w:sz w:val="20"/>
                      <w:szCs w:val="20"/>
                    </w:rPr>
                    <w:t>20%</w:t>
                  </w:r>
                </w:p>
              </w:tc>
              <w:tc>
                <w:tcPr>
                  <w:tcW w:w="927" w:type="dxa"/>
                  <w:shd w:val="clear" w:color="auto" w:fill="FDE9D9" w:themeFill="accent6" w:themeFillTint="33"/>
                  <w:vAlign w:val="center"/>
                </w:tcPr>
                <w:p w14:paraId="383FF244" w14:textId="77777777" w:rsidR="00441F87" w:rsidRPr="00202358" w:rsidRDefault="00441F87" w:rsidP="00312F3E">
                  <w:pPr>
                    <w:spacing w:after="0"/>
                    <w:jc w:val="center"/>
                    <w:rPr>
                      <w:sz w:val="20"/>
                      <w:szCs w:val="20"/>
                    </w:rPr>
                  </w:pPr>
                  <w:r>
                    <w:rPr>
                      <w:sz w:val="20"/>
                      <w:szCs w:val="20"/>
                    </w:rPr>
                    <w:t>43%</w:t>
                  </w:r>
                </w:p>
              </w:tc>
              <w:tc>
                <w:tcPr>
                  <w:tcW w:w="926" w:type="dxa"/>
                  <w:shd w:val="clear" w:color="auto" w:fill="E5DFEC" w:themeFill="accent4" w:themeFillTint="33"/>
                  <w:vAlign w:val="center"/>
                </w:tcPr>
                <w:p w14:paraId="083DDA65" w14:textId="77777777" w:rsidR="00441F87" w:rsidRPr="00202358" w:rsidRDefault="00441F87" w:rsidP="00312F3E">
                  <w:pPr>
                    <w:spacing w:after="0"/>
                    <w:jc w:val="center"/>
                    <w:rPr>
                      <w:sz w:val="20"/>
                      <w:szCs w:val="20"/>
                    </w:rPr>
                  </w:pPr>
                  <w:r>
                    <w:rPr>
                      <w:sz w:val="20"/>
                      <w:szCs w:val="20"/>
                    </w:rPr>
                    <w:t>60%</w:t>
                  </w:r>
                </w:p>
              </w:tc>
              <w:tc>
                <w:tcPr>
                  <w:tcW w:w="927" w:type="dxa"/>
                  <w:shd w:val="clear" w:color="auto" w:fill="E5DFEC" w:themeFill="accent4" w:themeFillTint="33"/>
                  <w:vAlign w:val="center"/>
                </w:tcPr>
                <w:p w14:paraId="47F0174D" w14:textId="77777777" w:rsidR="00441F87" w:rsidRPr="00202358" w:rsidRDefault="00441F87" w:rsidP="00312F3E">
                  <w:pPr>
                    <w:spacing w:after="0"/>
                    <w:jc w:val="center"/>
                    <w:rPr>
                      <w:sz w:val="20"/>
                      <w:szCs w:val="20"/>
                    </w:rPr>
                  </w:pPr>
                  <w:r>
                    <w:rPr>
                      <w:sz w:val="20"/>
                      <w:szCs w:val="20"/>
                    </w:rPr>
                    <w:t>57%</w:t>
                  </w:r>
                </w:p>
              </w:tc>
              <w:tc>
                <w:tcPr>
                  <w:tcW w:w="926" w:type="dxa"/>
                  <w:shd w:val="clear" w:color="auto" w:fill="EAF1DD" w:themeFill="accent3" w:themeFillTint="33"/>
                  <w:vAlign w:val="center"/>
                </w:tcPr>
                <w:p w14:paraId="60BAD12B" w14:textId="77777777" w:rsidR="00441F87" w:rsidRPr="00202358" w:rsidRDefault="00441F87" w:rsidP="00312F3E">
                  <w:pPr>
                    <w:spacing w:after="0"/>
                    <w:jc w:val="center"/>
                    <w:rPr>
                      <w:sz w:val="20"/>
                      <w:szCs w:val="20"/>
                    </w:rPr>
                  </w:pPr>
                  <w:r>
                    <w:rPr>
                      <w:sz w:val="20"/>
                      <w:szCs w:val="20"/>
                    </w:rPr>
                    <w:t>20%</w:t>
                  </w:r>
                </w:p>
              </w:tc>
              <w:tc>
                <w:tcPr>
                  <w:tcW w:w="927" w:type="dxa"/>
                  <w:shd w:val="clear" w:color="auto" w:fill="EAF1DD" w:themeFill="accent3" w:themeFillTint="33"/>
                  <w:vAlign w:val="center"/>
                </w:tcPr>
                <w:p w14:paraId="79F7438C" w14:textId="77777777" w:rsidR="00441F87" w:rsidRPr="00202358" w:rsidRDefault="00441F87" w:rsidP="00312F3E">
                  <w:pPr>
                    <w:spacing w:after="0"/>
                    <w:jc w:val="center"/>
                    <w:rPr>
                      <w:sz w:val="20"/>
                      <w:szCs w:val="20"/>
                    </w:rPr>
                  </w:pPr>
                  <w:r>
                    <w:rPr>
                      <w:sz w:val="20"/>
                      <w:szCs w:val="20"/>
                    </w:rPr>
                    <w:t>43%</w:t>
                  </w:r>
                </w:p>
              </w:tc>
            </w:tr>
          </w:tbl>
          <w:p w14:paraId="4C5E377D" w14:textId="77777777" w:rsidR="00441F87" w:rsidRPr="00D50A68" w:rsidRDefault="00441F87" w:rsidP="00312F3E">
            <w:pPr>
              <w:tabs>
                <w:tab w:val="left" w:pos="1440"/>
              </w:tabs>
              <w:spacing w:before="120"/>
              <w:rPr>
                <w:b/>
                <w:u w:val="single"/>
              </w:rPr>
            </w:pPr>
          </w:p>
          <w:p w14:paraId="5583A3A8" w14:textId="77777777" w:rsidR="00441F87" w:rsidRDefault="00441F87" w:rsidP="00312F3E">
            <w:pPr>
              <w:spacing w:before="120"/>
            </w:pPr>
          </w:p>
        </w:tc>
      </w:tr>
    </w:tbl>
    <w:p w14:paraId="5333DB97" w14:textId="5DE3C5FC" w:rsidR="00441F87" w:rsidRDefault="00441F87" w:rsidP="00441F87">
      <w:pPr>
        <w:sectPr w:rsidR="00441F87" w:rsidSect="008E20FA">
          <w:headerReference w:type="default" r:id="rId13"/>
          <w:footerReference w:type="default" r:id="rId14"/>
          <w:pgSz w:w="11906" w:h="16838"/>
          <w:pgMar w:top="1134" w:right="1276" w:bottom="1134" w:left="1134" w:header="709" w:footer="709" w:gutter="0"/>
          <w:cols w:space="720"/>
        </w:sect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84"/>
        <w:gridCol w:w="4678"/>
        <w:gridCol w:w="3856"/>
        <w:gridCol w:w="1672"/>
        <w:gridCol w:w="992"/>
      </w:tblGrid>
      <w:tr w:rsidR="00441F87" w:rsidRPr="00441F87" w14:paraId="34C82FD7" w14:textId="77777777" w:rsidTr="00312F3E">
        <w:trPr>
          <w:trHeight w:hRule="exact" w:val="340"/>
        </w:trPr>
        <w:tc>
          <w:tcPr>
            <w:tcW w:w="12753" w:type="dxa"/>
            <w:gridSpan w:val="4"/>
            <w:shd w:val="clear" w:color="auto" w:fill="CFDCE3"/>
            <w:tcMar>
              <w:top w:w="57" w:type="dxa"/>
              <w:bottom w:w="57" w:type="dxa"/>
            </w:tcMar>
          </w:tcPr>
          <w:p w14:paraId="2C4FB699" w14:textId="77777777" w:rsidR="00441F87" w:rsidRPr="00441F87" w:rsidRDefault="00441F87" w:rsidP="00441F87">
            <w:pPr>
              <w:numPr>
                <w:ilvl w:val="0"/>
                <w:numId w:val="29"/>
              </w:numPr>
              <w:suppressAutoHyphens w:val="0"/>
              <w:spacing w:after="0" w:line="240" w:lineRule="auto"/>
              <w:rPr>
                <w:b/>
              </w:rPr>
            </w:pPr>
            <w:r w:rsidRPr="00441F87">
              <w:rPr>
                <w:b/>
              </w:rPr>
              <w:t xml:space="preserve">Review of expenditure </w:t>
            </w:r>
          </w:p>
        </w:tc>
        <w:tc>
          <w:tcPr>
            <w:tcW w:w="2664" w:type="dxa"/>
            <w:gridSpan w:val="2"/>
            <w:shd w:val="clear" w:color="auto" w:fill="auto"/>
          </w:tcPr>
          <w:p w14:paraId="091CE6A0" w14:textId="77777777" w:rsidR="00441F87" w:rsidRPr="00441F87" w:rsidRDefault="00441F87" w:rsidP="00441F87">
            <w:pPr>
              <w:suppressAutoHyphens w:val="0"/>
              <w:spacing w:after="0" w:line="240" w:lineRule="auto"/>
            </w:pPr>
          </w:p>
        </w:tc>
      </w:tr>
      <w:tr w:rsidR="00441F87" w:rsidRPr="00441F87" w14:paraId="1EC785C7" w14:textId="77777777" w:rsidTr="00312F3E">
        <w:trPr>
          <w:trHeight w:hRule="exact" w:val="340"/>
        </w:trPr>
        <w:tc>
          <w:tcPr>
            <w:tcW w:w="4219" w:type="dxa"/>
            <w:gridSpan w:val="2"/>
            <w:shd w:val="clear" w:color="auto" w:fill="auto"/>
            <w:tcMar>
              <w:top w:w="57" w:type="dxa"/>
              <w:bottom w:w="57" w:type="dxa"/>
            </w:tcMar>
          </w:tcPr>
          <w:p w14:paraId="7EE008EB" w14:textId="77777777" w:rsidR="00441F87" w:rsidRPr="00441F87" w:rsidRDefault="00441F87" w:rsidP="00441F87">
            <w:pPr>
              <w:suppressAutoHyphens w:val="0"/>
              <w:spacing w:after="0" w:line="240" w:lineRule="auto"/>
              <w:rPr>
                <w:b/>
              </w:rPr>
            </w:pPr>
            <w:r w:rsidRPr="00441F87">
              <w:rPr>
                <w:b/>
              </w:rPr>
              <w:t>Academic Year</w:t>
            </w:r>
          </w:p>
        </w:tc>
        <w:tc>
          <w:tcPr>
            <w:tcW w:w="11198" w:type="dxa"/>
            <w:gridSpan w:val="4"/>
            <w:shd w:val="clear" w:color="auto" w:fill="auto"/>
          </w:tcPr>
          <w:p w14:paraId="73C319F3" w14:textId="77777777" w:rsidR="00441F87" w:rsidRPr="00441F87" w:rsidRDefault="00441F87" w:rsidP="00441F87">
            <w:pPr>
              <w:suppressAutoHyphens w:val="0"/>
              <w:spacing w:after="0" w:line="240" w:lineRule="auto"/>
              <w:rPr>
                <w:b/>
              </w:rPr>
            </w:pPr>
          </w:p>
        </w:tc>
      </w:tr>
      <w:tr w:rsidR="00441F87" w:rsidRPr="00441F87" w14:paraId="7C781222" w14:textId="77777777" w:rsidTr="00312F3E">
        <w:trPr>
          <w:trHeight w:hRule="exact" w:val="340"/>
        </w:trPr>
        <w:tc>
          <w:tcPr>
            <w:tcW w:w="15417" w:type="dxa"/>
            <w:gridSpan w:val="6"/>
            <w:shd w:val="clear" w:color="auto" w:fill="FFFFFF"/>
            <w:tcMar>
              <w:top w:w="57" w:type="dxa"/>
              <w:bottom w:w="57" w:type="dxa"/>
            </w:tcMar>
          </w:tcPr>
          <w:p w14:paraId="6763D891" w14:textId="77777777" w:rsidR="00441F87" w:rsidRPr="00441F87" w:rsidRDefault="00441F87" w:rsidP="00441F87">
            <w:pPr>
              <w:suppressAutoHyphens w:val="0"/>
              <w:spacing w:after="0" w:line="240" w:lineRule="auto"/>
              <w:rPr>
                <w:b/>
              </w:rPr>
            </w:pPr>
            <w:r w:rsidRPr="00441F87">
              <w:rPr>
                <w:b/>
              </w:rPr>
              <w:t>Quality of teaching for all</w:t>
            </w:r>
          </w:p>
        </w:tc>
      </w:tr>
      <w:tr w:rsidR="00441F87" w:rsidRPr="00441F87" w14:paraId="47A3DC60" w14:textId="77777777" w:rsidTr="00312F3E">
        <w:trPr>
          <w:trHeight w:hRule="exact" w:val="1173"/>
        </w:trPr>
        <w:tc>
          <w:tcPr>
            <w:tcW w:w="2235" w:type="dxa"/>
            <w:shd w:val="clear" w:color="auto" w:fill="auto"/>
            <w:tcMar>
              <w:top w:w="57" w:type="dxa"/>
              <w:bottom w:w="57" w:type="dxa"/>
            </w:tcMar>
          </w:tcPr>
          <w:p w14:paraId="255C8BED" w14:textId="77777777" w:rsidR="00441F87" w:rsidRPr="00441F87" w:rsidRDefault="00441F87" w:rsidP="00441F87">
            <w:pPr>
              <w:suppressAutoHyphens w:val="0"/>
              <w:spacing w:after="0" w:line="240" w:lineRule="auto"/>
              <w:rPr>
                <w:b/>
              </w:rPr>
            </w:pPr>
            <w:r w:rsidRPr="00441F87">
              <w:rPr>
                <w:b/>
              </w:rPr>
              <w:t>Action</w:t>
            </w:r>
          </w:p>
        </w:tc>
        <w:tc>
          <w:tcPr>
            <w:tcW w:w="1984" w:type="dxa"/>
            <w:shd w:val="clear" w:color="auto" w:fill="auto"/>
            <w:tcMar>
              <w:top w:w="57" w:type="dxa"/>
              <w:bottom w:w="57" w:type="dxa"/>
            </w:tcMar>
          </w:tcPr>
          <w:p w14:paraId="6A70DA63" w14:textId="77777777" w:rsidR="00441F87" w:rsidRPr="00441F87" w:rsidRDefault="00441F87" w:rsidP="00441F87">
            <w:pPr>
              <w:suppressAutoHyphens w:val="0"/>
              <w:spacing w:after="0" w:line="240" w:lineRule="auto"/>
              <w:rPr>
                <w:b/>
              </w:rPr>
            </w:pPr>
            <w:r w:rsidRPr="00441F87">
              <w:rPr>
                <w:b/>
              </w:rPr>
              <w:t>Intended outcome</w:t>
            </w:r>
          </w:p>
        </w:tc>
        <w:tc>
          <w:tcPr>
            <w:tcW w:w="4678" w:type="dxa"/>
            <w:shd w:val="clear" w:color="auto" w:fill="auto"/>
            <w:tcMar>
              <w:top w:w="57" w:type="dxa"/>
              <w:bottom w:w="57" w:type="dxa"/>
            </w:tcMar>
          </w:tcPr>
          <w:p w14:paraId="0676F943" w14:textId="77777777" w:rsidR="00441F87" w:rsidRPr="00441F87" w:rsidRDefault="00441F87" w:rsidP="00441F87">
            <w:pPr>
              <w:suppressAutoHyphens w:val="0"/>
              <w:spacing w:after="0" w:line="240" w:lineRule="auto"/>
              <w:rPr>
                <w:b/>
              </w:rPr>
            </w:pPr>
            <w:r w:rsidRPr="00441F87">
              <w:rPr>
                <w:b/>
              </w:rPr>
              <w:t xml:space="preserve">Estimated impact: </w:t>
            </w:r>
            <w:r w:rsidRPr="00441F87">
              <w:t>Did you meet the success criteria? (Include impact on pupils not eligible for PP, if appropriate).</w:t>
            </w:r>
          </w:p>
        </w:tc>
        <w:tc>
          <w:tcPr>
            <w:tcW w:w="5528" w:type="dxa"/>
            <w:gridSpan w:val="2"/>
            <w:shd w:val="clear" w:color="auto" w:fill="auto"/>
            <w:tcMar>
              <w:top w:w="57" w:type="dxa"/>
              <w:bottom w:w="57" w:type="dxa"/>
            </w:tcMar>
          </w:tcPr>
          <w:p w14:paraId="1D452508" w14:textId="77777777" w:rsidR="00441F87" w:rsidRPr="00441F87" w:rsidRDefault="00441F87" w:rsidP="00441F87">
            <w:pPr>
              <w:suppressAutoHyphens w:val="0"/>
              <w:spacing w:after="0" w:line="240" w:lineRule="auto"/>
              <w:rPr>
                <w:b/>
              </w:rPr>
            </w:pPr>
            <w:r w:rsidRPr="00441F87">
              <w:rPr>
                <w:b/>
              </w:rPr>
              <w:t xml:space="preserve">Lessons learned </w:t>
            </w:r>
          </w:p>
          <w:p w14:paraId="00AA6566" w14:textId="77777777" w:rsidR="00441F87" w:rsidRPr="00441F87" w:rsidRDefault="00441F87" w:rsidP="00441F87">
            <w:pPr>
              <w:suppressAutoHyphens w:val="0"/>
              <w:spacing w:after="0" w:line="240" w:lineRule="auto"/>
              <w:rPr>
                <w:b/>
              </w:rPr>
            </w:pPr>
            <w:r w:rsidRPr="00441F87">
              <w:t>(and whether you will continue with this approach)</w:t>
            </w:r>
          </w:p>
        </w:tc>
        <w:tc>
          <w:tcPr>
            <w:tcW w:w="992" w:type="dxa"/>
            <w:shd w:val="clear" w:color="auto" w:fill="auto"/>
          </w:tcPr>
          <w:p w14:paraId="2400A417" w14:textId="77777777" w:rsidR="00441F87" w:rsidRPr="00441F87" w:rsidRDefault="00441F87" w:rsidP="00441F87">
            <w:pPr>
              <w:suppressAutoHyphens w:val="0"/>
              <w:spacing w:after="0" w:line="240" w:lineRule="auto"/>
              <w:rPr>
                <w:b/>
              </w:rPr>
            </w:pPr>
          </w:p>
        </w:tc>
      </w:tr>
      <w:tr w:rsidR="00441F87" w:rsidRPr="00441F87" w14:paraId="4F091A78" w14:textId="77777777" w:rsidTr="00312F3E">
        <w:trPr>
          <w:trHeight w:hRule="exact" w:val="7456"/>
        </w:trPr>
        <w:tc>
          <w:tcPr>
            <w:tcW w:w="2235" w:type="dxa"/>
            <w:shd w:val="clear" w:color="auto" w:fill="auto"/>
            <w:tcMar>
              <w:top w:w="57" w:type="dxa"/>
              <w:bottom w:w="57" w:type="dxa"/>
            </w:tcMar>
          </w:tcPr>
          <w:p w14:paraId="744A21EE" w14:textId="77777777" w:rsidR="00441F87" w:rsidRPr="00441F87" w:rsidRDefault="00441F87" w:rsidP="00441F87">
            <w:pPr>
              <w:suppressAutoHyphens w:val="0"/>
              <w:spacing w:after="0" w:line="240" w:lineRule="auto"/>
            </w:pPr>
            <w:r w:rsidRPr="00441F87">
              <w:t xml:space="preserve">Daily phonics/spelling sessions to take place </w:t>
            </w:r>
          </w:p>
        </w:tc>
        <w:tc>
          <w:tcPr>
            <w:tcW w:w="1984" w:type="dxa"/>
            <w:shd w:val="clear" w:color="auto" w:fill="auto"/>
            <w:tcMar>
              <w:top w:w="57" w:type="dxa"/>
              <w:bottom w:w="57" w:type="dxa"/>
            </w:tcMar>
          </w:tcPr>
          <w:p w14:paraId="5B04A1E4" w14:textId="77777777" w:rsidR="00441F87" w:rsidRPr="00441F87" w:rsidRDefault="00441F87" w:rsidP="00441F87">
            <w:pPr>
              <w:suppressAutoHyphens w:val="0"/>
              <w:spacing w:after="0" w:line="240" w:lineRule="auto"/>
            </w:pPr>
            <w:r w:rsidRPr="00441F87">
              <w:t>Children’s phonics knowledge, reading ability and spelling improves so that they are more able to access and write age appropriate texts.</w:t>
            </w:r>
          </w:p>
        </w:tc>
        <w:tc>
          <w:tcPr>
            <w:tcW w:w="4678" w:type="dxa"/>
            <w:shd w:val="clear" w:color="auto" w:fill="auto"/>
            <w:tcMar>
              <w:top w:w="57" w:type="dxa"/>
              <w:bottom w:w="57" w:type="dxa"/>
            </w:tcMar>
          </w:tcPr>
          <w:p w14:paraId="5BC3A089" w14:textId="77777777" w:rsidR="00441F87" w:rsidRPr="00441F87" w:rsidRDefault="00441F87" w:rsidP="00441F87">
            <w:pPr>
              <w:suppressAutoHyphens w:val="0"/>
              <w:spacing w:after="0" w:line="240" w:lineRule="auto"/>
            </w:pPr>
            <w:r w:rsidRPr="00441F87">
              <w:t>Regular, daily phonics and spelling lessons took place following the Letters and Sounds scheme and the No Nonsense Spelling materials.</w:t>
            </w:r>
          </w:p>
          <w:p w14:paraId="7AF29982" w14:textId="77777777" w:rsidR="00441F87" w:rsidRPr="00441F87" w:rsidRDefault="00441F87" w:rsidP="00441F87">
            <w:pPr>
              <w:suppressAutoHyphens w:val="0"/>
              <w:spacing w:after="0" w:line="240" w:lineRule="auto"/>
            </w:pPr>
            <w:r w:rsidRPr="00441F87">
              <w:t>9/11 Children in Reception are on track to pass the Phonics screen in Y1 (1/2 PP children)</w:t>
            </w:r>
          </w:p>
          <w:p w14:paraId="47F80617" w14:textId="77777777" w:rsidR="00441F87" w:rsidRPr="00441F87" w:rsidRDefault="00441F87" w:rsidP="00441F87">
            <w:pPr>
              <w:suppressAutoHyphens w:val="0"/>
              <w:spacing w:after="0" w:line="240" w:lineRule="auto"/>
            </w:pPr>
            <w:r w:rsidRPr="00441F87">
              <w:t>5/9 children in Year 1 are on track to pass the Phonics screen in Y2 (0/2 PP children)</w:t>
            </w:r>
          </w:p>
          <w:p w14:paraId="110E6F8F" w14:textId="77777777" w:rsidR="00441F87" w:rsidRPr="00441F87" w:rsidRDefault="00441F87" w:rsidP="00441F87">
            <w:pPr>
              <w:suppressAutoHyphens w:val="0"/>
              <w:spacing w:after="0" w:line="240" w:lineRule="auto"/>
            </w:pPr>
            <w:r w:rsidRPr="00441F87">
              <w:t>Spelling continues to be an area of development across the school for children who have SEN.</w:t>
            </w:r>
          </w:p>
        </w:tc>
        <w:tc>
          <w:tcPr>
            <w:tcW w:w="5528" w:type="dxa"/>
            <w:gridSpan w:val="2"/>
            <w:shd w:val="clear" w:color="auto" w:fill="auto"/>
            <w:tcMar>
              <w:top w:w="57" w:type="dxa"/>
              <w:bottom w:w="57" w:type="dxa"/>
            </w:tcMar>
          </w:tcPr>
          <w:p w14:paraId="71DA7433" w14:textId="77777777" w:rsidR="00441F87" w:rsidRPr="00441F87" w:rsidRDefault="00441F87" w:rsidP="00441F87">
            <w:pPr>
              <w:suppressAutoHyphens w:val="0"/>
              <w:spacing w:after="0" w:line="240" w:lineRule="auto"/>
            </w:pPr>
            <w:r w:rsidRPr="00441F87">
              <w:t xml:space="preserve">Daily phonics and spelling lessons to continue. Reception, Year 1 and Year 2 to have separate phonics lessons in order to meet need and close gaps. Regular interventions to take place for those children who did not pass, or are not on course to pass, the phonics check. </w:t>
            </w:r>
          </w:p>
          <w:p w14:paraId="64A8ABA8" w14:textId="77777777" w:rsidR="00441F87" w:rsidRPr="00441F87" w:rsidRDefault="00441F87" w:rsidP="00441F87">
            <w:pPr>
              <w:suppressAutoHyphens w:val="0"/>
              <w:spacing w:after="0" w:line="240" w:lineRule="auto"/>
            </w:pPr>
            <w:r w:rsidRPr="00441F87">
              <w:t>Y3/4 and Y5/6 to have separate spelling lessons with those children in Y3/4 with minimal phonic understanding being grouped for phonics teaching.</w:t>
            </w:r>
          </w:p>
          <w:p w14:paraId="35CE31DC" w14:textId="77777777" w:rsidR="00441F87" w:rsidRPr="00441F87" w:rsidRDefault="00441F87" w:rsidP="00441F87">
            <w:pPr>
              <w:suppressAutoHyphens w:val="0"/>
              <w:spacing w:after="0" w:line="240" w:lineRule="auto"/>
            </w:pPr>
            <w:r w:rsidRPr="00441F87">
              <w:t>Those children identified as needing extra support with spelling are to access regular interventions (Alphabet Arc or Precision Teaching).</w:t>
            </w:r>
          </w:p>
        </w:tc>
        <w:tc>
          <w:tcPr>
            <w:tcW w:w="992" w:type="dxa"/>
            <w:shd w:val="clear" w:color="auto" w:fill="auto"/>
          </w:tcPr>
          <w:p w14:paraId="425B98FE" w14:textId="77777777" w:rsidR="00441F87" w:rsidRPr="00441F87" w:rsidRDefault="00441F87" w:rsidP="00441F87">
            <w:pPr>
              <w:suppressAutoHyphens w:val="0"/>
              <w:spacing w:after="0" w:line="240" w:lineRule="auto"/>
            </w:pPr>
          </w:p>
        </w:tc>
      </w:tr>
      <w:tr w:rsidR="00441F87" w:rsidRPr="00441F87" w14:paraId="36C48DCC" w14:textId="77777777" w:rsidTr="00312F3E">
        <w:trPr>
          <w:trHeight w:hRule="exact" w:val="340"/>
        </w:trPr>
        <w:tc>
          <w:tcPr>
            <w:tcW w:w="15417" w:type="dxa"/>
            <w:gridSpan w:val="6"/>
            <w:shd w:val="clear" w:color="auto" w:fill="auto"/>
            <w:tcMar>
              <w:top w:w="57" w:type="dxa"/>
              <w:bottom w:w="57" w:type="dxa"/>
            </w:tcMar>
          </w:tcPr>
          <w:p w14:paraId="2B495166" w14:textId="77777777" w:rsidR="00441F87" w:rsidRPr="00441F87" w:rsidRDefault="00441F87" w:rsidP="00441F87">
            <w:pPr>
              <w:suppressAutoHyphens w:val="0"/>
              <w:spacing w:after="0" w:line="240" w:lineRule="auto"/>
              <w:rPr>
                <w:b/>
              </w:rPr>
            </w:pPr>
            <w:r w:rsidRPr="00441F87">
              <w:rPr>
                <w:b/>
              </w:rPr>
              <w:t>Targeted support</w:t>
            </w:r>
          </w:p>
        </w:tc>
      </w:tr>
      <w:tr w:rsidR="00441F87" w:rsidRPr="00441F87" w14:paraId="58872662" w14:textId="77777777" w:rsidTr="00312F3E">
        <w:trPr>
          <w:trHeight w:hRule="exact" w:val="1101"/>
        </w:trPr>
        <w:tc>
          <w:tcPr>
            <w:tcW w:w="2235" w:type="dxa"/>
            <w:shd w:val="clear" w:color="auto" w:fill="auto"/>
            <w:tcMar>
              <w:top w:w="57" w:type="dxa"/>
              <w:bottom w:w="57" w:type="dxa"/>
            </w:tcMar>
          </w:tcPr>
          <w:p w14:paraId="2D80997C" w14:textId="77777777" w:rsidR="00441F87" w:rsidRPr="00441F87" w:rsidRDefault="00441F87" w:rsidP="00441F87">
            <w:pPr>
              <w:suppressAutoHyphens w:val="0"/>
              <w:spacing w:after="0" w:line="240" w:lineRule="auto"/>
              <w:rPr>
                <w:b/>
              </w:rPr>
            </w:pPr>
            <w:r w:rsidRPr="00441F87">
              <w:rPr>
                <w:b/>
              </w:rPr>
              <w:t>Action</w:t>
            </w:r>
          </w:p>
        </w:tc>
        <w:tc>
          <w:tcPr>
            <w:tcW w:w="1984" w:type="dxa"/>
            <w:shd w:val="clear" w:color="auto" w:fill="auto"/>
            <w:tcMar>
              <w:top w:w="57" w:type="dxa"/>
              <w:bottom w:w="57" w:type="dxa"/>
            </w:tcMar>
          </w:tcPr>
          <w:p w14:paraId="398D03BD" w14:textId="77777777" w:rsidR="00441F87" w:rsidRPr="00441F87" w:rsidRDefault="00441F87" w:rsidP="00441F87">
            <w:pPr>
              <w:suppressAutoHyphens w:val="0"/>
              <w:spacing w:after="0" w:line="240" w:lineRule="auto"/>
              <w:rPr>
                <w:b/>
              </w:rPr>
            </w:pPr>
            <w:r w:rsidRPr="00441F87">
              <w:rPr>
                <w:b/>
              </w:rPr>
              <w:t>Intended outcome</w:t>
            </w:r>
          </w:p>
        </w:tc>
        <w:tc>
          <w:tcPr>
            <w:tcW w:w="4678" w:type="dxa"/>
            <w:shd w:val="clear" w:color="auto" w:fill="auto"/>
            <w:tcMar>
              <w:top w:w="57" w:type="dxa"/>
              <w:bottom w:w="57" w:type="dxa"/>
            </w:tcMar>
          </w:tcPr>
          <w:p w14:paraId="71D52D65" w14:textId="77777777" w:rsidR="00441F87" w:rsidRPr="00441F87" w:rsidRDefault="00441F87" w:rsidP="00441F87">
            <w:pPr>
              <w:suppressAutoHyphens w:val="0"/>
              <w:spacing w:after="0" w:line="240" w:lineRule="auto"/>
              <w:rPr>
                <w:b/>
              </w:rPr>
            </w:pPr>
            <w:r w:rsidRPr="00441F87">
              <w:rPr>
                <w:b/>
              </w:rPr>
              <w:t xml:space="preserve">Estimated impact: </w:t>
            </w:r>
            <w:r w:rsidRPr="00441F87">
              <w:t>Did you meet the success criteria? (Include impact on pupils not eligible for PP, if appropriate).</w:t>
            </w:r>
          </w:p>
        </w:tc>
        <w:tc>
          <w:tcPr>
            <w:tcW w:w="5528" w:type="dxa"/>
            <w:gridSpan w:val="2"/>
            <w:shd w:val="clear" w:color="auto" w:fill="auto"/>
            <w:tcMar>
              <w:top w:w="57" w:type="dxa"/>
              <w:bottom w:w="57" w:type="dxa"/>
            </w:tcMar>
          </w:tcPr>
          <w:p w14:paraId="1A3B5D53" w14:textId="77777777" w:rsidR="00441F87" w:rsidRPr="00441F87" w:rsidRDefault="00441F87" w:rsidP="00441F87">
            <w:pPr>
              <w:suppressAutoHyphens w:val="0"/>
              <w:spacing w:after="0" w:line="240" w:lineRule="auto"/>
              <w:rPr>
                <w:b/>
              </w:rPr>
            </w:pPr>
            <w:r w:rsidRPr="00441F87">
              <w:rPr>
                <w:b/>
              </w:rPr>
              <w:t xml:space="preserve">Lessons learned </w:t>
            </w:r>
          </w:p>
          <w:p w14:paraId="727806B3" w14:textId="77777777" w:rsidR="00441F87" w:rsidRPr="00441F87" w:rsidRDefault="00441F87" w:rsidP="00441F87">
            <w:pPr>
              <w:suppressAutoHyphens w:val="0"/>
              <w:spacing w:after="0" w:line="240" w:lineRule="auto"/>
              <w:rPr>
                <w:b/>
              </w:rPr>
            </w:pPr>
            <w:r w:rsidRPr="00441F87">
              <w:t>(and whether you will continue with this approach)</w:t>
            </w:r>
          </w:p>
        </w:tc>
        <w:tc>
          <w:tcPr>
            <w:tcW w:w="992" w:type="dxa"/>
            <w:shd w:val="clear" w:color="auto" w:fill="auto"/>
          </w:tcPr>
          <w:p w14:paraId="01A60129" w14:textId="77777777" w:rsidR="00441F87" w:rsidRPr="00441F87" w:rsidRDefault="00441F87" w:rsidP="00441F87">
            <w:pPr>
              <w:suppressAutoHyphens w:val="0"/>
              <w:spacing w:after="0" w:line="240" w:lineRule="auto"/>
              <w:rPr>
                <w:b/>
              </w:rPr>
            </w:pPr>
          </w:p>
        </w:tc>
      </w:tr>
      <w:tr w:rsidR="00441F87" w:rsidRPr="00441F87" w14:paraId="5DDEC369" w14:textId="77777777" w:rsidTr="00312F3E">
        <w:trPr>
          <w:trHeight w:hRule="exact" w:val="5461"/>
        </w:trPr>
        <w:tc>
          <w:tcPr>
            <w:tcW w:w="2235" w:type="dxa"/>
            <w:shd w:val="clear" w:color="auto" w:fill="auto"/>
            <w:tcMar>
              <w:top w:w="57" w:type="dxa"/>
              <w:bottom w:w="57" w:type="dxa"/>
            </w:tcMar>
          </w:tcPr>
          <w:p w14:paraId="53D8690D" w14:textId="77777777" w:rsidR="00441F87" w:rsidRPr="00441F87" w:rsidRDefault="00441F87" w:rsidP="00441F87">
            <w:pPr>
              <w:suppressAutoHyphens w:val="0"/>
              <w:spacing w:after="0" w:line="240" w:lineRule="auto"/>
            </w:pPr>
            <w:r w:rsidRPr="00441F87">
              <w:t>Targeted TA support in Class 2 and 3 for core subjects</w:t>
            </w:r>
          </w:p>
        </w:tc>
        <w:tc>
          <w:tcPr>
            <w:tcW w:w="1984" w:type="dxa"/>
            <w:shd w:val="clear" w:color="auto" w:fill="auto"/>
            <w:tcMar>
              <w:top w:w="57" w:type="dxa"/>
              <w:bottom w:w="57" w:type="dxa"/>
            </w:tcMar>
          </w:tcPr>
          <w:p w14:paraId="3042E8CC" w14:textId="77777777" w:rsidR="00441F87" w:rsidRPr="00441F87" w:rsidRDefault="00441F87" w:rsidP="00441F87">
            <w:pPr>
              <w:suppressAutoHyphens w:val="0"/>
              <w:spacing w:after="0" w:line="240" w:lineRule="auto"/>
            </w:pPr>
            <w:r w:rsidRPr="00441F87">
              <w:t>PP children can access all of the learning so that they can demonstrate knowledge and skills similar to that of their peers.</w:t>
            </w:r>
          </w:p>
        </w:tc>
        <w:tc>
          <w:tcPr>
            <w:tcW w:w="4678" w:type="dxa"/>
            <w:shd w:val="clear" w:color="auto" w:fill="auto"/>
            <w:tcMar>
              <w:top w:w="57" w:type="dxa"/>
              <w:bottom w:w="57" w:type="dxa"/>
            </w:tcMar>
          </w:tcPr>
          <w:p w14:paraId="11E9A21E" w14:textId="77777777" w:rsidR="00441F87" w:rsidRPr="00441F87" w:rsidRDefault="00441F87" w:rsidP="00441F87">
            <w:pPr>
              <w:suppressAutoHyphens w:val="0"/>
              <w:spacing w:after="0" w:line="240" w:lineRule="auto"/>
            </w:pPr>
            <w:r w:rsidRPr="00441F87">
              <w:t>Teachers and TAs liaised effectively so that all staff knew which children needed support and how. Training was given by outside agencies to support the TAs to engage with children who were off task. All staff were provided with CPD to develop their understanding of how to meet the needs of the various learners in their class.</w:t>
            </w:r>
          </w:p>
          <w:p w14:paraId="4AFD21BA" w14:textId="77777777" w:rsidR="00441F87" w:rsidRPr="00441F87" w:rsidRDefault="00441F87" w:rsidP="00441F87">
            <w:pPr>
              <w:suppressAutoHyphens w:val="0"/>
              <w:spacing w:after="0" w:line="240" w:lineRule="auto"/>
            </w:pPr>
            <w:r w:rsidRPr="00441F87">
              <w:t>Engagement in learning for the majority of children improved over the course of the year but work is still needed to further support those children who find it difficult to engage with challenge, particularly with writing tasks.</w:t>
            </w:r>
          </w:p>
        </w:tc>
        <w:tc>
          <w:tcPr>
            <w:tcW w:w="5528" w:type="dxa"/>
            <w:gridSpan w:val="2"/>
            <w:shd w:val="clear" w:color="auto" w:fill="auto"/>
            <w:tcMar>
              <w:top w:w="57" w:type="dxa"/>
              <w:bottom w:w="57" w:type="dxa"/>
            </w:tcMar>
          </w:tcPr>
          <w:p w14:paraId="6C03CBB0" w14:textId="77777777" w:rsidR="00441F87" w:rsidRPr="00441F87" w:rsidRDefault="00441F87" w:rsidP="00441F87">
            <w:pPr>
              <w:suppressAutoHyphens w:val="0"/>
              <w:spacing w:after="0" w:line="240" w:lineRule="auto"/>
            </w:pPr>
            <w:r w:rsidRPr="00441F87">
              <w:t>Level of TA support to be continued and all classes to have a dedicated TA for core subjects. Further training to be delivered in meeting the needs of all children, differentiation and supporting children who find it hard to self-regulate.</w:t>
            </w:r>
          </w:p>
        </w:tc>
        <w:tc>
          <w:tcPr>
            <w:tcW w:w="992" w:type="dxa"/>
            <w:shd w:val="clear" w:color="auto" w:fill="auto"/>
          </w:tcPr>
          <w:p w14:paraId="68AA0716" w14:textId="77777777" w:rsidR="00441F87" w:rsidRPr="00441F87" w:rsidRDefault="00441F87" w:rsidP="00441F87">
            <w:pPr>
              <w:suppressAutoHyphens w:val="0"/>
              <w:spacing w:after="0" w:line="240" w:lineRule="auto"/>
            </w:pPr>
          </w:p>
        </w:tc>
      </w:tr>
      <w:tr w:rsidR="00441F87" w:rsidRPr="00441F87" w14:paraId="0475EED0" w14:textId="77777777" w:rsidTr="00312F3E">
        <w:trPr>
          <w:trHeight w:hRule="exact" w:val="5178"/>
        </w:trPr>
        <w:tc>
          <w:tcPr>
            <w:tcW w:w="2235" w:type="dxa"/>
            <w:shd w:val="clear" w:color="auto" w:fill="auto"/>
            <w:tcMar>
              <w:top w:w="57" w:type="dxa"/>
              <w:bottom w:w="57" w:type="dxa"/>
            </w:tcMar>
          </w:tcPr>
          <w:p w14:paraId="45FB8CFA" w14:textId="77777777" w:rsidR="00441F87" w:rsidRPr="00441F87" w:rsidRDefault="00441F87" w:rsidP="00441F87">
            <w:pPr>
              <w:suppressAutoHyphens w:val="0"/>
              <w:spacing w:after="0" w:line="240" w:lineRule="auto"/>
            </w:pPr>
            <w:r w:rsidRPr="00441F87">
              <w:t>Targeted TA support for lunchtimes.</w:t>
            </w:r>
          </w:p>
        </w:tc>
        <w:tc>
          <w:tcPr>
            <w:tcW w:w="1984" w:type="dxa"/>
            <w:shd w:val="clear" w:color="auto" w:fill="auto"/>
            <w:tcMar>
              <w:top w:w="57" w:type="dxa"/>
              <w:bottom w:w="57" w:type="dxa"/>
            </w:tcMar>
          </w:tcPr>
          <w:p w14:paraId="5E5C39FF" w14:textId="77777777" w:rsidR="00441F87" w:rsidRPr="00441F87" w:rsidRDefault="00441F87" w:rsidP="00441F87">
            <w:pPr>
              <w:suppressAutoHyphens w:val="0"/>
              <w:spacing w:after="0" w:line="240" w:lineRule="auto"/>
            </w:pPr>
            <w:r w:rsidRPr="00441F87">
              <w:t xml:space="preserve">PP children with challenging behaviour are supported during lunchtimes to avoid missing afternoon learning due to lunchtime incidents. </w:t>
            </w:r>
          </w:p>
        </w:tc>
        <w:tc>
          <w:tcPr>
            <w:tcW w:w="4678" w:type="dxa"/>
            <w:shd w:val="clear" w:color="auto" w:fill="auto"/>
            <w:tcMar>
              <w:top w:w="57" w:type="dxa"/>
              <w:bottom w:w="57" w:type="dxa"/>
            </w:tcMar>
          </w:tcPr>
          <w:p w14:paraId="1329CA0D" w14:textId="77777777" w:rsidR="00441F87" w:rsidRPr="00441F87" w:rsidRDefault="00441F87" w:rsidP="00441F87">
            <w:pPr>
              <w:suppressAutoHyphens w:val="0"/>
              <w:spacing w:after="0" w:line="240" w:lineRule="auto"/>
            </w:pPr>
            <w:r w:rsidRPr="00441F87">
              <w:t>TAs were employed to meet the needs of the identified children at lunchtimes. Training was given over the year to support staff to know how and when to intervene to prevent and manage incidents.</w:t>
            </w:r>
          </w:p>
          <w:p w14:paraId="4539031A" w14:textId="77777777" w:rsidR="00441F87" w:rsidRPr="00441F87" w:rsidRDefault="00441F87" w:rsidP="00441F87">
            <w:pPr>
              <w:suppressAutoHyphens w:val="0"/>
              <w:spacing w:after="0" w:line="240" w:lineRule="auto"/>
            </w:pPr>
            <w:r w:rsidRPr="00441F87">
              <w:t xml:space="preserve">The level of TA support, twinned with the need to keep class bubbles separate, had a positive impact in that the vast majority of children had positive lunchtimes and so they were ready to learn upon entering the classroom. A small minority of children have been identified as needing additional support with self-regulation. </w:t>
            </w:r>
          </w:p>
        </w:tc>
        <w:tc>
          <w:tcPr>
            <w:tcW w:w="5528" w:type="dxa"/>
            <w:gridSpan w:val="2"/>
            <w:shd w:val="clear" w:color="auto" w:fill="auto"/>
            <w:tcMar>
              <w:top w:w="57" w:type="dxa"/>
              <w:bottom w:w="57" w:type="dxa"/>
            </w:tcMar>
          </w:tcPr>
          <w:p w14:paraId="3738E6FF" w14:textId="77777777" w:rsidR="00441F87" w:rsidRPr="00441F87" w:rsidRDefault="00441F87" w:rsidP="00441F87">
            <w:pPr>
              <w:suppressAutoHyphens w:val="0"/>
              <w:spacing w:after="0" w:line="240" w:lineRule="auto"/>
            </w:pPr>
            <w:r w:rsidRPr="00441F87">
              <w:t>TA support at lunchtimes for targeted children will continue as will the CPD and support for staff to enable a smooth transition from lunchtime to afternoon learning.</w:t>
            </w:r>
          </w:p>
        </w:tc>
        <w:tc>
          <w:tcPr>
            <w:tcW w:w="992" w:type="dxa"/>
            <w:shd w:val="clear" w:color="auto" w:fill="auto"/>
          </w:tcPr>
          <w:p w14:paraId="1D02835B" w14:textId="77777777" w:rsidR="00441F87" w:rsidRPr="00441F87" w:rsidRDefault="00441F87" w:rsidP="00441F87">
            <w:pPr>
              <w:suppressAutoHyphens w:val="0"/>
              <w:spacing w:after="0" w:line="240" w:lineRule="auto"/>
            </w:pPr>
          </w:p>
        </w:tc>
      </w:tr>
      <w:tr w:rsidR="00441F87" w:rsidRPr="00441F87" w14:paraId="22448CDB" w14:textId="77777777" w:rsidTr="00312F3E">
        <w:trPr>
          <w:trHeight w:hRule="exact" w:val="4330"/>
        </w:trPr>
        <w:tc>
          <w:tcPr>
            <w:tcW w:w="2235" w:type="dxa"/>
            <w:shd w:val="clear" w:color="auto" w:fill="auto"/>
            <w:tcMar>
              <w:top w:w="57" w:type="dxa"/>
              <w:bottom w:w="57" w:type="dxa"/>
            </w:tcMar>
          </w:tcPr>
          <w:p w14:paraId="3B57503E" w14:textId="77777777" w:rsidR="00441F87" w:rsidRPr="00441F87" w:rsidRDefault="00441F87" w:rsidP="00441F87">
            <w:pPr>
              <w:suppressAutoHyphens w:val="0"/>
              <w:spacing w:after="0" w:line="240" w:lineRule="auto"/>
            </w:pPr>
            <w:r w:rsidRPr="00441F87">
              <w:t>Targeted TA support for afternoon sessions</w:t>
            </w:r>
          </w:p>
        </w:tc>
        <w:tc>
          <w:tcPr>
            <w:tcW w:w="1984" w:type="dxa"/>
            <w:shd w:val="clear" w:color="auto" w:fill="auto"/>
            <w:tcMar>
              <w:top w:w="57" w:type="dxa"/>
              <w:bottom w:w="57" w:type="dxa"/>
            </w:tcMar>
          </w:tcPr>
          <w:p w14:paraId="1FAE3A95" w14:textId="77777777" w:rsidR="00441F87" w:rsidRPr="00441F87" w:rsidRDefault="00441F87" w:rsidP="00441F87">
            <w:pPr>
              <w:suppressAutoHyphens w:val="0"/>
              <w:spacing w:after="0" w:line="240" w:lineRule="auto"/>
            </w:pPr>
            <w:r w:rsidRPr="00441F87">
              <w:t>Support given during the afternoon for reading and spelling.</w:t>
            </w:r>
          </w:p>
        </w:tc>
        <w:tc>
          <w:tcPr>
            <w:tcW w:w="4678" w:type="dxa"/>
            <w:shd w:val="clear" w:color="auto" w:fill="auto"/>
            <w:tcMar>
              <w:top w:w="57" w:type="dxa"/>
              <w:bottom w:w="57" w:type="dxa"/>
            </w:tcMar>
          </w:tcPr>
          <w:p w14:paraId="7A0A3AB8" w14:textId="77777777" w:rsidR="00441F87" w:rsidRPr="00441F87" w:rsidRDefault="00441F87" w:rsidP="00441F87">
            <w:pPr>
              <w:suppressAutoHyphens w:val="0"/>
              <w:spacing w:after="0" w:line="240" w:lineRule="auto"/>
            </w:pPr>
            <w:r w:rsidRPr="00441F87">
              <w:t xml:space="preserve">TAs were used to both support targeted children in class with their learning and also with interventions. </w:t>
            </w:r>
          </w:p>
          <w:p w14:paraId="757BA7D1" w14:textId="77777777" w:rsidR="00441F87" w:rsidRPr="00441F87" w:rsidRDefault="00441F87" w:rsidP="00441F87">
            <w:pPr>
              <w:suppressAutoHyphens w:val="0"/>
              <w:spacing w:after="0" w:line="240" w:lineRule="auto"/>
            </w:pPr>
            <w:r w:rsidRPr="00441F87">
              <w:t>Interventions were successful with the vast majority of children achieving their ISP targets at the end of year review.</w:t>
            </w:r>
          </w:p>
          <w:p w14:paraId="23E1EA40" w14:textId="77777777" w:rsidR="00441F87" w:rsidRPr="00441F87" w:rsidRDefault="00441F87" w:rsidP="00441F87">
            <w:pPr>
              <w:suppressAutoHyphens w:val="0"/>
              <w:spacing w:after="0" w:line="240" w:lineRule="auto"/>
            </w:pPr>
            <w:r w:rsidRPr="00441F87">
              <w:t>Support in class was more difficult due to the restrictions on mixing and bubbles, however, TA support facilitated more engagement from most identified children.</w:t>
            </w:r>
          </w:p>
        </w:tc>
        <w:tc>
          <w:tcPr>
            <w:tcW w:w="5528" w:type="dxa"/>
            <w:gridSpan w:val="2"/>
            <w:shd w:val="clear" w:color="auto" w:fill="auto"/>
            <w:tcMar>
              <w:top w:w="57" w:type="dxa"/>
              <w:bottom w:w="57" w:type="dxa"/>
            </w:tcMar>
          </w:tcPr>
          <w:p w14:paraId="2CE44D54" w14:textId="77777777" w:rsidR="00441F87" w:rsidRPr="00441F87" w:rsidRDefault="00441F87" w:rsidP="00441F87">
            <w:pPr>
              <w:suppressAutoHyphens w:val="0"/>
              <w:spacing w:after="0" w:line="240" w:lineRule="auto"/>
            </w:pPr>
            <w:r w:rsidRPr="00441F87">
              <w:t>TA hours to be increased so that more support can be given for this children who are on ISPs and those who need support for regulating their behaviour.</w:t>
            </w:r>
          </w:p>
          <w:p w14:paraId="4D774C35" w14:textId="77777777" w:rsidR="00441F87" w:rsidRPr="00441F87" w:rsidRDefault="00441F87" w:rsidP="00441F87">
            <w:pPr>
              <w:suppressAutoHyphens w:val="0"/>
              <w:spacing w:after="0" w:line="240" w:lineRule="auto"/>
            </w:pPr>
            <w:r w:rsidRPr="00441F87">
              <w:t>Training will be facilitated by external agencies/KAT to support all staff in intervention programmes and supporting children with self-regulation strategies.</w:t>
            </w:r>
          </w:p>
        </w:tc>
        <w:tc>
          <w:tcPr>
            <w:tcW w:w="992" w:type="dxa"/>
            <w:shd w:val="clear" w:color="auto" w:fill="auto"/>
          </w:tcPr>
          <w:p w14:paraId="74B36C09" w14:textId="77777777" w:rsidR="00441F87" w:rsidRPr="00441F87" w:rsidRDefault="00441F87" w:rsidP="00441F87">
            <w:pPr>
              <w:suppressAutoHyphens w:val="0"/>
              <w:spacing w:after="0" w:line="240" w:lineRule="auto"/>
            </w:pPr>
          </w:p>
        </w:tc>
      </w:tr>
    </w:tbl>
    <w:p w14:paraId="5FAE220A" w14:textId="77777777" w:rsidR="001C011F" w:rsidRDefault="001C011F">
      <w:pPr>
        <w:suppressAutoHyphens w:val="0"/>
        <w:spacing w:after="0" w:line="240" w:lineRule="auto"/>
      </w:pPr>
    </w:p>
    <w:p w14:paraId="3B8F8EAB" w14:textId="77777777" w:rsidR="001C011F" w:rsidRDefault="001C011F"/>
    <w:p w14:paraId="1A3C0AA7" w14:textId="77777777" w:rsidR="00227607" w:rsidRDefault="00227607">
      <w:pPr>
        <w:pStyle w:val="Heading2"/>
        <w:spacing w:before="600"/>
        <w:rPr>
          <w:sz w:val="24"/>
          <w:szCs w:val="24"/>
        </w:rPr>
      </w:pPr>
    </w:p>
    <w:p w14:paraId="582D2D2A" w14:textId="582A8849" w:rsidR="001C011F" w:rsidRDefault="001C011F" w:rsidP="001C011F"/>
    <w:p w14:paraId="72BB452A" w14:textId="155944A3" w:rsidR="001C011F" w:rsidRDefault="001C011F" w:rsidP="001C011F"/>
    <w:p w14:paraId="1CAAD5BE" w14:textId="60D69A29" w:rsidR="001C011F" w:rsidRDefault="001C011F" w:rsidP="001C011F"/>
    <w:p w14:paraId="23E50351" w14:textId="23BD0DE6" w:rsidR="001C011F" w:rsidRDefault="001C011F" w:rsidP="001C011F"/>
    <w:p w14:paraId="26CAF15F" w14:textId="529A818F" w:rsidR="001C011F" w:rsidRDefault="001C011F" w:rsidP="001C011F"/>
    <w:bookmarkEnd w:id="15"/>
    <w:bookmarkEnd w:id="16"/>
    <w:bookmarkEnd w:id="17"/>
    <w:p w14:paraId="4E8D70E9" w14:textId="233175C2" w:rsidR="001C011F" w:rsidRDefault="001C011F" w:rsidP="001C011F"/>
    <w:sectPr w:rsidR="001C011F" w:rsidSect="008E20FA">
      <w:pgSz w:w="16838" w:h="11906" w:orient="landscape" w:code="9"/>
      <w:pgMar w:top="1276"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CD5E3" w14:textId="77777777" w:rsidR="00180ED2" w:rsidRDefault="00180ED2">
      <w:pPr>
        <w:spacing w:after="0" w:line="240" w:lineRule="auto"/>
      </w:pPr>
      <w:r>
        <w:separator/>
      </w:r>
    </w:p>
  </w:endnote>
  <w:endnote w:type="continuationSeparator" w:id="0">
    <w:p w14:paraId="5B9360DE" w14:textId="77777777" w:rsidR="00180ED2" w:rsidRDefault="0018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0C7DB4F3" w:rsidR="00781EFE" w:rsidRDefault="00781EFE">
    <w:pPr>
      <w:pStyle w:val="Footer"/>
      <w:ind w:firstLine="4513"/>
    </w:pPr>
    <w:r>
      <w:fldChar w:fldCharType="begin"/>
    </w:r>
    <w:r>
      <w:instrText xml:space="preserve"> PAGE </w:instrText>
    </w:r>
    <w:r>
      <w:fldChar w:fldCharType="separate"/>
    </w:r>
    <w:r w:rsidR="008A3A4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57670" w14:textId="77777777" w:rsidR="00180ED2" w:rsidRDefault="00180ED2">
      <w:pPr>
        <w:spacing w:after="0" w:line="240" w:lineRule="auto"/>
      </w:pPr>
      <w:r>
        <w:separator/>
      </w:r>
    </w:p>
  </w:footnote>
  <w:footnote w:type="continuationSeparator" w:id="0">
    <w:p w14:paraId="035C0E54" w14:textId="77777777" w:rsidR="00180ED2" w:rsidRDefault="00180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3C25FFFB" w:rsidR="00781EFE" w:rsidRDefault="00781EFE" w:rsidP="00FE03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D6CCC9"/>
    <w:multiLevelType w:val="hybridMultilevel"/>
    <w:tmpl w:val="1DBCCD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2D4F0F"/>
    <w:multiLevelType w:val="hybridMultilevel"/>
    <w:tmpl w:val="AFB0BF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61B7E"/>
    <w:multiLevelType w:val="multilevel"/>
    <w:tmpl w:val="F112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07468"/>
    <w:multiLevelType w:val="hybridMultilevel"/>
    <w:tmpl w:val="2ECAE3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967280"/>
    <w:multiLevelType w:val="hybridMultilevel"/>
    <w:tmpl w:val="C4CA0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6073152"/>
    <w:multiLevelType w:val="hybridMultilevel"/>
    <w:tmpl w:val="9B04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D484D"/>
    <w:multiLevelType w:val="multilevel"/>
    <w:tmpl w:val="C996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A63438F"/>
    <w:multiLevelType w:val="hybridMultilevel"/>
    <w:tmpl w:val="EF2C2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9D01204"/>
    <w:multiLevelType w:val="hybridMultilevel"/>
    <w:tmpl w:val="99223FCC"/>
    <w:lvl w:ilvl="0" w:tplc="0809000F">
      <w:start w:val="1"/>
      <w:numFmt w:val="decimal"/>
      <w:lvlText w:val="%1."/>
      <w:lvlJc w:val="left"/>
      <w:pPr>
        <w:ind w:left="4045"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3122871"/>
    <w:multiLevelType w:val="multilevel"/>
    <w:tmpl w:val="4B10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F47097"/>
    <w:multiLevelType w:val="hybridMultilevel"/>
    <w:tmpl w:val="24DA4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02B6421"/>
    <w:multiLevelType w:val="hybridMultilevel"/>
    <w:tmpl w:val="5A2F82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67A1333"/>
    <w:multiLevelType w:val="multilevel"/>
    <w:tmpl w:val="6ACE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6D9E1B16"/>
    <w:multiLevelType w:val="hybridMultilevel"/>
    <w:tmpl w:val="BE486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827ECF"/>
    <w:multiLevelType w:val="hybridMultilevel"/>
    <w:tmpl w:val="4D24F26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6C6DA9"/>
    <w:multiLevelType w:val="hybridMultilevel"/>
    <w:tmpl w:val="99D40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13"/>
  </w:num>
  <w:num w:numId="5">
    <w:abstractNumId w:val="5"/>
  </w:num>
  <w:num w:numId="6">
    <w:abstractNumId w:val="15"/>
  </w:num>
  <w:num w:numId="7">
    <w:abstractNumId w:val="21"/>
  </w:num>
  <w:num w:numId="8">
    <w:abstractNumId w:val="27"/>
  </w:num>
  <w:num w:numId="9">
    <w:abstractNumId w:val="25"/>
  </w:num>
  <w:num w:numId="10">
    <w:abstractNumId w:val="22"/>
  </w:num>
  <w:num w:numId="11">
    <w:abstractNumId w:val="9"/>
  </w:num>
  <w:num w:numId="12">
    <w:abstractNumId w:val="26"/>
  </w:num>
  <w:num w:numId="13">
    <w:abstractNumId w:val="18"/>
  </w:num>
  <w:num w:numId="14">
    <w:abstractNumId w:val="7"/>
  </w:num>
  <w:num w:numId="15">
    <w:abstractNumId w:val="17"/>
  </w:num>
  <w:num w:numId="16">
    <w:abstractNumId w:val="6"/>
  </w:num>
  <w:num w:numId="17">
    <w:abstractNumId w:val="0"/>
  </w:num>
  <w:num w:numId="18">
    <w:abstractNumId w:val="16"/>
  </w:num>
  <w:num w:numId="19">
    <w:abstractNumId w:val="4"/>
  </w:num>
  <w:num w:numId="20">
    <w:abstractNumId w:val="19"/>
  </w:num>
  <w:num w:numId="21">
    <w:abstractNumId w:val="1"/>
  </w:num>
  <w:num w:numId="22">
    <w:abstractNumId w:val="28"/>
  </w:num>
  <w:num w:numId="23">
    <w:abstractNumId w:val="12"/>
  </w:num>
  <w:num w:numId="24">
    <w:abstractNumId w:val="23"/>
  </w:num>
  <w:num w:numId="25">
    <w:abstractNumId w:val="2"/>
  </w:num>
  <w:num w:numId="26">
    <w:abstractNumId w:val="20"/>
  </w:num>
  <w:num w:numId="27">
    <w:abstractNumId w:val="3"/>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6201"/>
    <w:rsid w:val="00020A2E"/>
    <w:rsid w:val="00026D99"/>
    <w:rsid w:val="00066B73"/>
    <w:rsid w:val="00096306"/>
    <w:rsid w:val="000A7844"/>
    <w:rsid w:val="000B1405"/>
    <w:rsid w:val="000D0AF2"/>
    <w:rsid w:val="000E1528"/>
    <w:rsid w:val="000E3E05"/>
    <w:rsid w:val="00110D7F"/>
    <w:rsid w:val="00120AB1"/>
    <w:rsid w:val="00121344"/>
    <w:rsid w:val="00161109"/>
    <w:rsid w:val="00180ED2"/>
    <w:rsid w:val="0019144D"/>
    <w:rsid w:val="00197AD2"/>
    <w:rsid w:val="001A7CE0"/>
    <w:rsid w:val="001B32D1"/>
    <w:rsid w:val="001C011F"/>
    <w:rsid w:val="001C52FD"/>
    <w:rsid w:val="001D0C0A"/>
    <w:rsid w:val="001F1C85"/>
    <w:rsid w:val="00227607"/>
    <w:rsid w:val="00255DB3"/>
    <w:rsid w:val="00261EC0"/>
    <w:rsid w:val="00267986"/>
    <w:rsid w:val="00284764"/>
    <w:rsid w:val="00285472"/>
    <w:rsid w:val="002F5A86"/>
    <w:rsid w:val="003721FD"/>
    <w:rsid w:val="00376D03"/>
    <w:rsid w:val="003805BD"/>
    <w:rsid w:val="00397186"/>
    <w:rsid w:val="003E2C1D"/>
    <w:rsid w:val="003E6BCD"/>
    <w:rsid w:val="004044AA"/>
    <w:rsid w:val="00406122"/>
    <w:rsid w:val="00423B95"/>
    <w:rsid w:val="00433B17"/>
    <w:rsid w:val="00441F87"/>
    <w:rsid w:val="00487E61"/>
    <w:rsid w:val="004A64CC"/>
    <w:rsid w:val="004A7A63"/>
    <w:rsid w:val="004A7E3D"/>
    <w:rsid w:val="004E3DE5"/>
    <w:rsid w:val="004E71EE"/>
    <w:rsid w:val="004F144E"/>
    <w:rsid w:val="004F42B2"/>
    <w:rsid w:val="004F7FE4"/>
    <w:rsid w:val="005179DB"/>
    <w:rsid w:val="00534AA5"/>
    <w:rsid w:val="00541E6F"/>
    <w:rsid w:val="00555A55"/>
    <w:rsid w:val="00556899"/>
    <w:rsid w:val="005941DF"/>
    <w:rsid w:val="005E6F27"/>
    <w:rsid w:val="006008F0"/>
    <w:rsid w:val="00615BB8"/>
    <w:rsid w:val="00632678"/>
    <w:rsid w:val="00633FB0"/>
    <w:rsid w:val="00645541"/>
    <w:rsid w:val="00652D6D"/>
    <w:rsid w:val="00653012"/>
    <w:rsid w:val="006B43CC"/>
    <w:rsid w:val="006C395E"/>
    <w:rsid w:val="006C4273"/>
    <w:rsid w:val="006D0C49"/>
    <w:rsid w:val="006E7FB1"/>
    <w:rsid w:val="006F1363"/>
    <w:rsid w:val="006F3FEF"/>
    <w:rsid w:val="00701B7E"/>
    <w:rsid w:val="00712801"/>
    <w:rsid w:val="00733D61"/>
    <w:rsid w:val="00741B9E"/>
    <w:rsid w:val="0077045B"/>
    <w:rsid w:val="00781EFE"/>
    <w:rsid w:val="00785B10"/>
    <w:rsid w:val="007B3375"/>
    <w:rsid w:val="007C2F04"/>
    <w:rsid w:val="007C4464"/>
    <w:rsid w:val="007D4941"/>
    <w:rsid w:val="007F6271"/>
    <w:rsid w:val="007F7814"/>
    <w:rsid w:val="00804434"/>
    <w:rsid w:val="00820088"/>
    <w:rsid w:val="00827E64"/>
    <w:rsid w:val="00847D4C"/>
    <w:rsid w:val="00860512"/>
    <w:rsid w:val="008853FF"/>
    <w:rsid w:val="00887090"/>
    <w:rsid w:val="00895AC4"/>
    <w:rsid w:val="008A3A4F"/>
    <w:rsid w:val="008C054A"/>
    <w:rsid w:val="008D5F98"/>
    <w:rsid w:val="008E0E89"/>
    <w:rsid w:val="008E1AA8"/>
    <w:rsid w:val="008E20FA"/>
    <w:rsid w:val="008F078E"/>
    <w:rsid w:val="00901C2B"/>
    <w:rsid w:val="00906D67"/>
    <w:rsid w:val="00930343"/>
    <w:rsid w:val="00937D59"/>
    <w:rsid w:val="00990BC1"/>
    <w:rsid w:val="009C6467"/>
    <w:rsid w:val="009D71E8"/>
    <w:rsid w:val="009E315D"/>
    <w:rsid w:val="00A151A6"/>
    <w:rsid w:val="00A155D3"/>
    <w:rsid w:val="00A67A05"/>
    <w:rsid w:val="00A8667D"/>
    <w:rsid w:val="00A94AFF"/>
    <w:rsid w:val="00AA3329"/>
    <w:rsid w:val="00AA4025"/>
    <w:rsid w:val="00B53605"/>
    <w:rsid w:val="00B625AA"/>
    <w:rsid w:val="00B671F2"/>
    <w:rsid w:val="00B808A7"/>
    <w:rsid w:val="00B93F13"/>
    <w:rsid w:val="00BE042D"/>
    <w:rsid w:val="00BF5CEF"/>
    <w:rsid w:val="00C01647"/>
    <w:rsid w:val="00C25AFF"/>
    <w:rsid w:val="00C506CB"/>
    <w:rsid w:val="00C52D46"/>
    <w:rsid w:val="00CA4660"/>
    <w:rsid w:val="00CC4BBA"/>
    <w:rsid w:val="00D05A59"/>
    <w:rsid w:val="00D07232"/>
    <w:rsid w:val="00D236AD"/>
    <w:rsid w:val="00D33AF1"/>
    <w:rsid w:val="00D33FE5"/>
    <w:rsid w:val="00D4287F"/>
    <w:rsid w:val="00D50A68"/>
    <w:rsid w:val="00D839D5"/>
    <w:rsid w:val="00DB740B"/>
    <w:rsid w:val="00DD21AC"/>
    <w:rsid w:val="00DF0AFB"/>
    <w:rsid w:val="00E3587F"/>
    <w:rsid w:val="00E3693F"/>
    <w:rsid w:val="00E60642"/>
    <w:rsid w:val="00E654B1"/>
    <w:rsid w:val="00E66558"/>
    <w:rsid w:val="00E66EE2"/>
    <w:rsid w:val="00E956B8"/>
    <w:rsid w:val="00EC7CCA"/>
    <w:rsid w:val="00EF6621"/>
    <w:rsid w:val="00EF7597"/>
    <w:rsid w:val="00F11FA9"/>
    <w:rsid w:val="00F22787"/>
    <w:rsid w:val="00F40D4A"/>
    <w:rsid w:val="00F76CA3"/>
    <w:rsid w:val="00F77E2C"/>
    <w:rsid w:val="00F819A6"/>
    <w:rsid w:val="00FB2766"/>
    <w:rsid w:val="00FB7170"/>
    <w:rsid w:val="00FC3BAD"/>
    <w:rsid w:val="00FC78C4"/>
    <w:rsid w:val="00FD7A70"/>
    <w:rsid w:val="00FE0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8F078E"/>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8F078E"/>
    <w:rPr>
      <w:b/>
      <w:bCs/>
    </w:rPr>
  </w:style>
  <w:style w:type="table" w:styleId="TableGrid">
    <w:name w:val="Table Grid"/>
    <w:basedOn w:val="TableNormal"/>
    <w:uiPriority w:val="39"/>
    <w:rsid w:val="00FB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3329"/>
    <w:pPr>
      <w:autoSpaceDE w:val="0"/>
      <w:adjustRightInd w:val="0"/>
    </w:pPr>
    <w:rPr>
      <w:rFonts w:cs="Arial"/>
      <w:color w:val="000000"/>
      <w:sz w:val="24"/>
      <w:szCs w:val="24"/>
    </w:rPr>
  </w:style>
  <w:style w:type="paragraph" w:styleId="NoSpacing">
    <w:name w:val="No Spacing"/>
    <w:uiPriority w:val="1"/>
    <w:qFormat/>
    <w:rsid w:val="00487E61"/>
    <w:pPr>
      <w:suppressAutoHyphens/>
    </w:pPr>
    <w:rPr>
      <w:color w:val="0D0D0D"/>
      <w:sz w:val="24"/>
      <w:szCs w:val="24"/>
    </w:rPr>
  </w:style>
  <w:style w:type="paragraph" w:customStyle="1" w:styleId="font8">
    <w:name w:val="font_8"/>
    <w:basedOn w:val="Normal"/>
    <w:rsid w:val="008C054A"/>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59074">
      <w:bodyDiv w:val="1"/>
      <w:marLeft w:val="0"/>
      <w:marRight w:val="0"/>
      <w:marTop w:val="0"/>
      <w:marBottom w:val="0"/>
      <w:divBdr>
        <w:top w:val="none" w:sz="0" w:space="0" w:color="auto"/>
        <w:left w:val="none" w:sz="0" w:space="0" w:color="auto"/>
        <w:bottom w:val="none" w:sz="0" w:space="0" w:color="auto"/>
        <w:right w:val="none" w:sz="0" w:space="0" w:color="auto"/>
      </w:divBdr>
    </w:div>
    <w:div w:id="1101487097">
      <w:bodyDiv w:val="1"/>
      <w:marLeft w:val="0"/>
      <w:marRight w:val="0"/>
      <w:marTop w:val="0"/>
      <w:marBottom w:val="0"/>
      <w:divBdr>
        <w:top w:val="none" w:sz="0" w:space="0" w:color="auto"/>
        <w:left w:val="none" w:sz="0" w:space="0" w:color="auto"/>
        <w:bottom w:val="none" w:sz="0" w:space="0" w:color="auto"/>
        <w:right w:val="none" w:sz="0" w:space="0" w:color="auto"/>
      </w:divBdr>
    </w:div>
    <w:div w:id="1664432824">
      <w:bodyDiv w:val="1"/>
      <w:marLeft w:val="0"/>
      <w:marRight w:val="0"/>
      <w:marTop w:val="0"/>
      <w:marBottom w:val="0"/>
      <w:divBdr>
        <w:top w:val="none" w:sz="0" w:space="0" w:color="auto"/>
        <w:left w:val="none" w:sz="0" w:space="0" w:color="auto"/>
        <w:bottom w:val="none" w:sz="0" w:space="0" w:color="auto"/>
        <w:right w:val="none" w:sz="0" w:space="0" w:color="auto"/>
      </w:divBdr>
    </w:div>
    <w:div w:id="1986809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etm.org.uk/teaching-for-mastery/mastery-explained/supporting-research-evidence-and-argu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ttlewandlelettersandsounds.org.uk/about-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D0B9295CD694187BF7D7DEBAFDED4" ma:contentTypeVersion="11" ma:contentTypeDescription="Create a new document." ma:contentTypeScope="" ma:versionID="4d65f0bc081e8769d05e376ddb8aca95">
  <xsd:schema xmlns:xsd="http://www.w3.org/2001/XMLSchema" xmlns:xs="http://www.w3.org/2001/XMLSchema" xmlns:p="http://schemas.microsoft.com/office/2006/metadata/properties" xmlns:ns3="ab69a915-d782-41bc-a0db-d9fdc5b47796" xmlns:ns4="62d18c83-58e3-4f55-8dd8-815cfc4b239f" targetNamespace="http://schemas.microsoft.com/office/2006/metadata/properties" ma:root="true" ma:fieldsID="3e50812eabf44b82e1bb85926b2279cb" ns3:_="" ns4:_="">
    <xsd:import namespace="ab69a915-d782-41bc-a0db-d9fdc5b47796"/>
    <xsd:import namespace="62d18c83-58e3-4f55-8dd8-815cfc4b23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9a915-d782-41bc-a0db-d9fdc5b47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18c83-58e3-4f55-8dd8-815cfc4b23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98AFC-7D5B-4FF9-920C-4A2C3A6D0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9a915-d782-41bc-a0db-d9fdc5b47796"/>
    <ds:schemaRef ds:uri="62d18c83-58e3-4f55-8dd8-815cfc4b2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19B341-D42E-4145-A959-5F1BB8C07D7F}">
  <ds:schemaRefs>
    <ds:schemaRef ds:uri="http://schemas.microsoft.com/sharepoint/v3/contenttype/forms"/>
  </ds:schemaRefs>
</ds:datastoreItem>
</file>

<file path=customXml/itemProps3.xml><?xml version="1.0" encoding="utf-8"?>
<ds:datastoreItem xmlns:ds="http://schemas.openxmlformats.org/officeDocument/2006/customXml" ds:itemID="{A0643EE1-96FC-49AF-B3DD-B7FB1A6FDCB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b69a915-d782-41bc-a0db-d9fdc5b47796"/>
    <ds:schemaRef ds:uri="62d18c83-58e3-4f55-8dd8-815cfc4b239f"/>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80297B9-C913-4189-9A5F-7A482B13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2411</Words>
  <Characters>13743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Sarah Meek</cp:lastModifiedBy>
  <cp:revision>2</cp:revision>
  <cp:lastPrinted>2014-09-17T13:26:00Z</cp:lastPrinted>
  <dcterms:created xsi:type="dcterms:W3CDTF">2022-02-03T20:00:00Z</dcterms:created>
  <dcterms:modified xsi:type="dcterms:W3CDTF">2022-02-03T20:00:00Z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0x010100A92D0B9295CD694187BF7D7DEBAFDED4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